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12DCB" w14:textId="7F9735AE" w:rsidR="00994A3E" w:rsidRPr="000C5734" w:rsidRDefault="00994A3E" w:rsidP="00994A3E">
      <w:pPr>
        <w:pStyle w:val="3GPPHeader"/>
        <w:rPr>
          <w:highlight w:val="yellow"/>
        </w:rPr>
      </w:pPr>
      <w:r w:rsidRPr="000C5734">
        <w:t xml:space="preserve">3GPP TSG RAN WG1 Meeting </w:t>
      </w:r>
      <w:r>
        <w:t>#92</w:t>
      </w:r>
      <w:r w:rsidRPr="000C5734">
        <w:tab/>
      </w:r>
      <w:r w:rsidRPr="005F0ACB">
        <w:t>R1-18</w:t>
      </w:r>
      <w:r w:rsidR="005F0ACB" w:rsidRPr="005F0ACB">
        <w:t>02773</w:t>
      </w:r>
    </w:p>
    <w:p w14:paraId="50E6AF98" w14:textId="77777777" w:rsidR="00994A3E" w:rsidRPr="007679B0" w:rsidRDefault="00994A3E" w:rsidP="00994A3E">
      <w:pPr>
        <w:pStyle w:val="3GPPHeader"/>
      </w:pPr>
      <w:r>
        <w:t>Athens, Greece</w:t>
      </w:r>
      <w:r w:rsidRPr="000C5734">
        <w:t xml:space="preserve">, </w:t>
      </w:r>
      <w:r>
        <w:t>26</w:t>
      </w:r>
      <w:r w:rsidRPr="0070615A">
        <w:rPr>
          <w:vertAlign w:val="superscript"/>
        </w:rPr>
        <w:t>th</w:t>
      </w:r>
      <w:r>
        <w:t xml:space="preserve"> – 30</w:t>
      </w:r>
      <w:r w:rsidRPr="0070615A">
        <w:rPr>
          <w:vertAlign w:val="superscript"/>
        </w:rPr>
        <w:t>th</w:t>
      </w:r>
      <w:r>
        <w:t xml:space="preserve"> February</w:t>
      </w:r>
      <w:r w:rsidRPr="000C5734">
        <w:t>, 2018</w:t>
      </w:r>
    </w:p>
    <w:p w14:paraId="3CEB34CF" w14:textId="77777777" w:rsidR="00994A3E" w:rsidRPr="00CE0424" w:rsidRDefault="00994A3E" w:rsidP="00994A3E">
      <w:pPr>
        <w:pStyle w:val="3GPPHeader"/>
      </w:pPr>
    </w:p>
    <w:p w14:paraId="1CCCC10B" w14:textId="77777777" w:rsidR="00994A3E" w:rsidRPr="00327997" w:rsidRDefault="00994A3E" w:rsidP="00994A3E">
      <w:pPr>
        <w:pStyle w:val="3GPPHeader"/>
      </w:pPr>
      <w:r w:rsidRPr="00327997">
        <w:t>Source:</w:t>
      </w:r>
      <w:r w:rsidRPr="00327997">
        <w:tab/>
        <w:t>Ericsson</w:t>
      </w:r>
    </w:p>
    <w:p w14:paraId="7616774B" w14:textId="77777777" w:rsidR="00994A3E" w:rsidRDefault="00994A3E" w:rsidP="00994A3E">
      <w:pPr>
        <w:pStyle w:val="3GPPHeader"/>
      </w:pPr>
      <w:r w:rsidRPr="00327997">
        <w:t>Title:</w:t>
      </w:r>
      <w:r w:rsidRPr="00327997">
        <w:tab/>
      </w:r>
      <w:r>
        <w:t>Candidate spectrum for NR unlicensed operation</w:t>
      </w:r>
    </w:p>
    <w:p w14:paraId="56EB7035" w14:textId="17E9ED65" w:rsidR="00994A3E" w:rsidRPr="00327997" w:rsidRDefault="00994A3E" w:rsidP="00994A3E">
      <w:pPr>
        <w:pStyle w:val="3GPPHeader"/>
      </w:pPr>
      <w:r>
        <w:t>Agenda Item:</w:t>
      </w:r>
      <w:r>
        <w:tab/>
        <w:t>7.6.3</w:t>
      </w:r>
    </w:p>
    <w:p w14:paraId="213C73C1" w14:textId="77777777" w:rsidR="00994A3E" w:rsidRPr="00CE0424" w:rsidRDefault="00994A3E" w:rsidP="00994A3E">
      <w:pPr>
        <w:pStyle w:val="3GPPHeader"/>
      </w:pPr>
      <w:r w:rsidRPr="00327997">
        <w:t>Document for:</w:t>
      </w:r>
      <w:r w:rsidRPr="00327997">
        <w:tab/>
      </w:r>
      <w:r>
        <w:t>Discussion and Decision</w:t>
      </w:r>
    </w:p>
    <w:p w14:paraId="72B2365A" w14:textId="4F164EB7" w:rsidR="00E90E49" w:rsidRDefault="007F75D5" w:rsidP="00CE0424">
      <w:pPr>
        <w:pStyle w:val="Heading1"/>
      </w:pPr>
      <w:r>
        <w:t>Introduction</w:t>
      </w:r>
    </w:p>
    <w:p w14:paraId="64E45A12" w14:textId="5662D173" w:rsidR="00DF6507" w:rsidRDefault="00DF6507" w:rsidP="00DF6507">
      <w:pPr>
        <w:pStyle w:val="BodyText"/>
        <w:rPr>
          <w:rFonts w:cs="Arial"/>
        </w:rPr>
      </w:pPr>
      <w:bookmarkStart w:id="0" w:name="_Ref178064866"/>
      <w:r w:rsidRPr="00327B15">
        <w:rPr>
          <w:rFonts w:cs="Arial"/>
        </w:rPr>
        <w:t>The Study Item on</w:t>
      </w:r>
      <w:r>
        <w:rPr>
          <w:rFonts w:cs="Arial"/>
        </w:rPr>
        <w:t xml:space="preserve"> </w:t>
      </w:r>
      <w:r w:rsidRPr="00327B15">
        <w:rPr>
          <w:rFonts w:cs="Arial"/>
        </w:rPr>
        <w:t>NR-based Access to Unlicense</w:t>
      </w:r>
      <w:r>
        <w:rPr>
          <w:rFonts w:cs="Arial"/>
        </w:rPr>
        <w:t xml:space="preserve">d Spectrum (NR-U), </w:t>
      </w:r>
      <w:r w:rsidRPr="00327B15">
        <w:rPr>
          <w:rFonts w:cs="Arial"/>
        </w:rPr>
        <w:t xml:space="preserve">which was approved at </w:t>
      </w:r>
      <w:r w:rsidRPr="00312C06">
        <w:rPr>
          <w:rFonts w:cs="Arial"/>
        </w:rPr>
        <w:t>RAN#7</w:t>
      </w:r>
      <w:r>
        <w:rPr>
          <w:rFonts w:cs="Arial"/>
        </w:rPr>
        <w:t>5</w:t>
      </w:r>
      <w:r w:rsidRPr="00327B15">
        <w:rPr>
          <w:rFonts w:cs="Arial"/>
        </w:rPr>
        <w:t xml:space="preserve">, includes the following objectives </w:t>
      </w:r>
      <w:r>
        <w:rPr>
          <w:rFonts w:cs="Arial"/>
        </w:rPr>
        <w:fldChar w:fldCharType="begin"/>
      </w:r>
      <w:r>
        <w:rPr>
          <w:rFonts w:cs="Arial"/>
        </w:rPr>
        <w:instrText xml:space="preserve"> REF _Ref454459437 \r \h </w:instrText>
      </w:r>
      <w:r>
        <w:rPr>
          <w:rFonts w:cs="Arial"/>
        </w:rPr>
      </w:r>
      <w:r>
        <w:rPr>
          <w:rFonts w:cs="Arial"/>
        </w:rPr>
        <w:fldChar w:fldCharType="separate"/>
      </w:r>
      <w:r>
        <w:rPr>
          <w:rFonts w:cs="Arial"/>
        </w:rPr>
        <w:t>[1]</w:t>
      </w:r>
      <w:r>
        <w:rPr>
          <w:rFonts w:cs="Arial"/>
        </w:rPr>
        <w:fldChar w:fldCharType="end"/>
      </w:r>
      <w:r w:rsidRPr="00327B15">
        <w:rPr>
          <w:rFonts w:cs="Arial"/>
        </w:rPr>
        <w:t>:</w:t>
      </w:r>
    </w:p>
    <w:p w14:paraId="276045CC" w14:textId="77777777" w:rsidR="00DF6507" w:rsidRPr="00E01B0B" w:rsidRDefault="00DF6507" w:rsidP="00DF6507">
      <w:pPr>
        <w:pStyle w:val="ListParagraph"/>
        <w:numPr>
          <w:ilvl w:val="0"/>
          <w:numId w:val="17"/>
        </w:numPr>
        <w:spacing w:after="0"/>
        <w:rPr>
          <w:bCs/>
        </w:rPr>
      </w:pPr>
      <w:r w:rsidRPr="00E01B0B">
        <w:t xml:space="preserve">The NR-based unlicensed access design should allow fair coexistence across RATs and within NR-based systems operating in unlicensed spectrum. </w:t>
      </w:r>
    </w:p>
    <w:p w14:paraId="3362741C" w14:textId="77777777" w:rsidR="00DF6507" w:rsidRPr="00E01B0B" w:rsidRDefault="00DF6507" w:rsidP="00DF6507">
      <w:pPr>
        <w:pStyle w:val="ListParagraph"/>
        <w:numPr>
          <w:ilvl w:val="0"/>
          <w:numId w:val="17"/>
        </w:numPr>
        <w:spacing w:after="0"/>
        <w:rPr>
          <w:bCs/>
        </w:rPr>
      </w:pPr>
      <w:r w:rsidRPr="00E01B0B">
        <w:rPr>
          <w:bCs/>
        </w:rPr>
        <w:t xml:space="preserve">Study NR-based operation in unlicensed spectrum (RAN1, RAN2, RAN4) including </w:t>
      </w:r>
    </w:p>
    <w:p w14:paraId="630D1735" w14:textId="77777777" w:rsidR="00DF6507" w:rsidRDefault="00DF6507" w:rsidP="00DF6507">
      <w:pPr>
        <w:numPr>
          <w:ilvl w:val="1"/>
          <w:numId w:val="18"/>
        </w:numPr>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08403F93" w14:textId="77777777" w:rsidR="00DF6507" w:rsidRDefault="00DF6507" w:rsidP="00DF6507">
      <w:pPr>
        <w:numPr>
          <w:ilvl w:val="2"/>
          <w:numId w:val="18"/>
        </w:numPr>
        <w:rPr>
          <w:bCs/>
        </w:rPr>
      </w:pPr>
      <w:r>
        <w:rPr>
          <w:bCs/>
        </w:rPr>
        <w:t>Consider unlicensed bands both below and above 6GHz, up to 52.6GHz</w:t>
      </w:r>
    </w:p>
    <w:p w14:paraId="23D38C6C" w14:textId="77777777" w:rsidR="00DF6507" w:rsidRDefault="00DF6507" w:rsidP="00DF6507">
      <w:pPr>
        <w:numPr>
          <w:ilvl w:val="2"/>
          <w:numId w:val="18"/>
        </w:numPr>
        <w:rPr>
          <w:bCs/>
        </w:rPr>
      </w:pPr>
      <w:r>
        <w:rPr>
          <w:bCs/>
        </w:rPr>
        <w:t xml:space="preserve">Consider unlicensed bands above 52.6GHz to the extent that waveform design principles remain unchanged with respect to below 52.6GHz bands </w:t>
      </w:r>
    </w:p>
    <w:p w14:paraId="05BED08C" w14:textId="77777777" w:rsidR="00DF6507" w:rsidRPr="006D32D5" w:rsidRDefault="00DF6507" w:rsidP="00DF6507">
      <w:pPr>
        <w:numPr>
          <w:ilvl w:val="2"/>
          <w:numId w:val="18"/>
        </w:numPr>
        <w:rPr>
          <w:bCs/>
        </w:rPr>
      </w:pPr>
      <w:r>
        <w:rPr>
          <w:rFonts w:hint="eastAsia"/>
          <w:bCs/>
        </w:rPr>
        <w:t xml:space="preserve">Consider similar forward compatibility </w:t>
      </w:r>
      <w:r>
        <w:rPr>
          <w:bCs/>
        </w:rPr>
        <w:t>principles</w:t>
      </w:r>
      <w:r>
        <w:rPr>
          <w:rFonts w:hint="eastAsia"/>
          <w:bCs/>
        </w:rPr>
        <w:t xml:space="preserve"> made in the NR WI</w:t>
      </w:r>
      <w:r w:rsidRPr="006D32D5">
        <w:rPr>
          <w:bCs/>
        </w:rPr>
        <w:t xml:space="preserve"> </w:t>
      </w:r>
    </w:p>
    <w:p w14:paraId="04533F03" w14:textId="77777777" w:rsidR="00DF6507" w:rsidRPr="00BF75FD" w:rsidRDefault="00DF6507" w:rsidP="00DF6507">
      <w:pPr>
        <w:numPr>
          <w:ilvl w:val="1"/>
          <w:numId w:val="18"/>
        </w:numPr>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08A519C1" w14:textId="77777777" w:rsidR="00DF6507" w:rsidRPr="00E16BC1" w:rsidRDefault="00DF6507" w:rsidP="00DF6507">
      <w:pPr>
        <w:numPr>
          <w:ilvl w:val="1"/>
          <w:numId w:val="18"/>
        </w:numPr>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37GHz, 60GHz</w:t>
      </w:r>
      <w:r w:rsidRPr="00915396">
        <w:rPr>
          <w:bCs/>
        </w:rPr>
        <w:t xml:space="preserve"> bands </w:t>
      </w:r>
    </w:p>
    <w:p w14:paraId="40D9B56A" w14:textId="3278539F" w:rsidR="00DF6507" w:rsidRDefault="00DF6507" w:rsidP="00DF6507">
      <w:pPr>
        <w:numPr>
          <w:ilvl w:val="2"/>
          <w:numId w:val="18"/>
        </w:numPr>
        <w:rPr>
          <w:bCs/>
        </w:rPr>
      </w:pPr>
      <w:r w:rsidRPr="00E23384">
        <w:rPr>
          <w:bC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Pr>
          <w:bCs/>
        </w:rPr>
        <w:t>Fi network on the same carrier;</w:t>
      </w:r>
    </w:p>
    <w:p w14:paraId="46CB4A05" w14:textId="3F45265F" w:rsidR="00DF6507" w:rsidRDefault="00705777" w:rsidP="00DF6507">
      <w:pPr>
        <w:pStyle w:val="BodyText"/>
      </w:pPr>
      <w:r>
        <w:t xml:space="preserve">In this contribution we discuss our views on candidate spectrum for NR unlicensed operation including the following </w:t>
      </w:r>
      <w:r w:rsidR="005C6597">
        <w:t>bands</w:t>
      </w:r>
      <w:r>
        <w:t>: Sub-1 GHz, 2.4, 3.5, 5, 6, 37, and 60 GHz.</w:t>
      </w:r>
    </w:p>
    <w:p w14:paraId="60B357CF" w14:textId="164FBCB6" w:rsidR="00C01F33" w:rsidRDefault="004000E8" w:rsidP="00DC2639">
      <w:pPr>
        <w:pStyle w:val="Heading1"/>
      </w:pPr>
      <w:r w:rsidRPr="00CE0424">
        <w:t>Discussion</w:t>
      </w:r>
      <w:bookmarkEnd w:id="0"/>
    </w:p>
    <w:p w14:paraId="2D2DA8D6" w14:textId="53CA3D4C" w:rsidR="00705777" w:rsidRDefault="00705777" w:rsidP="00705777">
      <w:pPr>
        <w:pStyle w:val="Heading2"/>
      </w:pPr>
      <w:r>
        <w:t>Sub-1 GHz</w:t>
      </w:r>
    </w:p>
    <w:p w14:paraId="109E71FE" w14:textId="677801C4" w:rsidR="00705777" w:rsidRDefault="002221D4" w:rsidP="00763491">
      <w:pPr>
        <w:pStyle w:val="BodyText"/>
        <w:rPr>
          <w:lang w:eastAsia="ko-KR"/>
        </w:rPr>
      </w:pPr>
      <w:r>
        <w:rPr>
          <w:lang w:eastAsia="ko-KR"/>
        </w:rPr>
        <w:t xml:space="preserve">The </w:t>
      </w:r>
      <w:r w:rsidR="00705777">
        <w:rPr>
          <w:lang w:eastAsia="ko-KR"/>
        </w:rPr>
        <w:t xml:space="preserve">902-928 </w:t>
      </w:r>
      <w:r w:rsidR="00705777">
        <w:rPr>
          <w:rFonts w:hint="eastAsia"/>
          <w:lang w:eastAsia="ko-KR"/>
        </w:rPr>
        <w:t xml:space="preserve">MHz </w:t>
      </w:r>
      <w:r w:rsidR="00705777">
        <w:rPr>
          <w:lang w:eastAsia="ko-KR"/>
        </w:rPr>
        <w:t>band is allocated in US (</w:t>
      </w:r>
      <w:r w:rsidR="00705777">
        <w:rPr>
          <w:rFonts w:hint="eastAsia"/>
          <w:lang w:eastAsia="ko-KR"/>
        </w:rPr>
        <w:t>F</w:t>
      </w:r>
      <w:r w:rsidR="00705777">
        <w:rPr>
          <w:lang w:eastAsia="ko-KR"/>
        </w:rPr>
        <w:t xml:space="preserve">CC Part 15), while 863-868.6 MHz band is allocated in EU (ETSI EN 300 220). </w:t>
      </w:r>
      <w:r>
        <w:rPr>
          <w:lang w:eastAsia="ko-KR"/>
        </w:rPr>
        <w:t xml:space="preserve">The </w:t>
      </w:r>
      <w:r w:rsidR="00705777">
        <w:rPr>
          <w:lang w:eastAsia="ko-KR"/>
        </w:rPr>
        <w:t xml:space="preserve">915.9-929.7 MHz </w:t>
      </w:r>
      <w:r>
        <w:rPr>
          <w:lang w:eastAsia="ko-KR"/>
        </w:rPr>
        <w:t xml:space="preserve">band is allocated in </w:t>
      </w:r>
      <w:r w:rsidR="00705777">
        <w:rPr>
          <w:lang w:eastAsia="ko-KR"/>
        </w:rPr>
        <w:t xml:space="preserve">Japan, 917-923.5 MHz </w:t>
      </w:r>
      <w:r>
        <w:rPr>
          <w:lang w:eastAsia="ko-KR"/>
        </w:rPr>
        <w:t xml:space="preserve">band </w:t>
      </w:r>
      <w:r w:rsidR="00705777">
        <w:rPr>
          <w:lang w:eastAsia="ko-KR"/>
        </w:rPr>
        <w:t xml:space="preserve">in South Korea, and 755-779 MHz and 779-787 MHz </w:t>
      </w:r>
      <w:r>
        <w:rPr>
          <w:lang w:eastAsia="ko-KR"/>
        </w:rPr>
        <w:t xml:space="preserve">bands </w:t>
      </w:r>
      <w:r w:rsidR="00705777">
        <w:rPr>
          <w:lang w:eastAsia="ko-KR"/>
        </w:rPr>
        <w:t xml:space="preserve">in China. </w:t>
      </w:r>
      <w:r w:rsidR="00705777" w:rsidRPr="001A2D32">
        <w:rPr>
          <w:lang w:eastAsia="ko-KR"/>
        </w:rPr>
        <w:t xml:space="preserve">The sub-1 GHz spectrum is </w:t>
      </w:r>
      <w:r w:rsidR="00705777">
        <w:rPr>
          <w:lang w:eastAsia="ko-KR"/>
        </w:rPr>
        <w:t>the target band of IEEE 802.11ah for IoT purpose. In addition, there are opportunities for unlicensed operation in 600 MHz in the US as a result of the incentive auctions of the broadcasting spectrum. These unlicensed pieces of spectrum will be in duplex gap of the cellular FDD band as well as in the guard ban</w:t>
      </w:r>
      <w:r>
        <w:rPr>
          <w:lang w:eastAsia="ko-KR"/>
        </w:rPr>
        <w:t>d with radio astronomy channel.</w:t>
      </w:r>
    </w:p>
    <w:p w14:paraId="01E8B870" w14:textId="1113FFF3" w:rsidR="005C6597" w:rsidRDefault="005C6597" w:rsidP="00763491">
      <w:pPr>
        <w:pStyle w:val="BodyText"/>
        <w:rPr>
          <w:lang w:eastAsia="ko-KR"/>
        </w:rPr>
      </w:pPr>
      <w:r w:rsidRPr="005C6597">
        <w:rPr>
          <w:b/>
          <w:lang w:eastAsia="ko-KR"/>
        </w:rPr>
        <w:t>Ericsson view</w:t>
      </w:r>
      <w:r>
        <w:rPr>
          <w:lang w:eastAsia="ko-KR"/>
        </w:rPr>
        <w:t>:</w:t>
      </w:r>
    </w:p>
    <w:p w14:paraId="16934A74" w14:textId="64CC78F8" w:rsidR="00763491" w:rsidRPr="00763491" w:rsidRDefault="005C6597" w:rsidP="00763491">
      <w:pPr>
        <w:pStyle w:val="BodyText"/>
        <w:rPr>
          <w:rFonts w:eastAsia="Malgun Gothic"/>
        </w:rPr>
      </w:pPr>
      <w:r w:rsidRPr="00763491">
        <w:rPr>
          <w:rFonts w:eastAsia="Malgun Gothic"/>
        </w:rPr>
        <w:t xml:space="preserve">In general, our view </w:t>
      </w:r>
      <w:r w:rsidR="00EC31ED" w:rsidRPr="00763491">
        <w:rPr>
          <w:rFonts w:eastAsia="Malgun Gothic"/>
        </w:rPr>
        <w:t xml:space="preserve">is that </w:t>
      </w:r>
      <w:r w:rsidRPr="00763491">
        <w:rPr>
          <w:rFonts w:eastAsia="Malgun Gothic"/>
        </w:rPr>
        <w:t xml:space="preserve">for the initial NR-U design, the eMBB use case should be prioritized. The bands in the sub-GHz range do not appear to have sufficient spectrum to support high performance eMBB service. For the 600 MHz band in the US, the bandwidth is too restrictive for NR eMBB purposes, due to the restrictions on unlicensed operation to the duplex gap and guard bands. Moreover, the requirement for a connection to a whitespace database in some scenarios </w:t>
      </w:r>
      <w:r w:rsidR="00763491" w:rsidRPr="00763491">
        <w:rPr>
          <w:rFonts w:eastAsia="Malgun Gothic"/>
        </w:rPr>
        <w:t>is an undesirable complication.</w:t>
      </w:r>
    </w:p>
    <w:p w14:paraId="474ECA0B" w14:textId="560C6DA9" w:rsidR="005C6597" w:rsidRPr="007809FE" w:rsidRDefault="00763491" w:rsidP="00763491">
      <w:pPr>
        <w:pStyle w:val="Proposal"/>
        <w:rPr>
          <w:lang w:eastAsia="ko-KR"/>
        </w:rPr>
      </w:pPr>
      <w:bookmarkStart w:id="1" w:name="_Toc503302549"/>
      <w:bookmarkStart w:id="2" w:name="_Toc503548782"/>
      <w:bookmarkStart w:id="3" w:name="_Toc505274111"/>
      <w:bookmarkStart w:id="4" w:name="_Toc506568053"/>
      <w:r>
        <w:rPr>
          <w:rFonts w:eastAsia="Malgun Gothic"/>
        </w:rPr>
        <w:t>The</w:t>
      </w:r>
      <w:r w:rsidR="005C6597" w:rsidRPr="008309D8">
        <w:rPr>
          <w:rFonts w:eastAsia="Malgun Gothic"/>
        </w:rPr>
        <w:t xml:space="preserve"> sub-</w:t>
      </w:r>
      <w:r>
        <w:rPr>
          <w:rFonts w:eastAsia="Malgun Gothic"/>
        </w:rPr>
        <w:t>1 GHz band</w:t>
      </w:r>
      <w:r w:rsidR="005C6597" w:rsidRPr="008309D8">
        <w:rPr>
          <w:rFonts w:eastAsia="Malgun Gothic"/>
        </w:rPr>
        <w:t xml:space="preserve"> </w:t>
      </w:r>
      <w:r w:rsidR="00C97FD2">
        <w:rPr>
          <w:rFonts w:eastAsia="Malgun Gothic"/>
        </w:rPr>
        <w:t>can</w:t>
      </w:r>
      <w:r w:rsidR="005C6597" w:rsidRPr="008309D8">
        <w:rPr>
          <w:rFonts w:eastAsia="Malgun Gothic"/>
        </w:rPr>
        <w:t xml:space="preserve"> </w:t>
      </w:r>
      <w:r>
        <w:rPr>
          <w:rFonts w:eastAsia="Malgun Gothic"/>
        </w:rPr>
        <w:t>be down-prioritized for eMBB NR-U operation</w:t>
      </w:r>
      <w:bookmarkEnd w:id="1"/>
      <w:bookmarkEnd w:id="2"/>
      <w:bookmarkEnd w:id="3"/>
      <w:bookmarkEnd w:id="4"/>
    </w:p>
    <w:p w14:paraId="1CC7171D" w14:textId="77777777" w:rsidR="007809FE" w:rsidRPr="00705777" w:rsidRDefault="007809FE" w:rsidP="007809FE">
      <w:pPr>
        <w:pStyle w:val="BodyText"/>
        <w:rPr>
          <w:lang w:eastAsia="ko-KR"/>
        </w:rPr>
      </w:pPr>
    </w:p>
    <w:p w14:paraId="62C57A35" w14:textId="08E60874" w:rsidR="00705777" w:rsidRDefault="00705777" w:rsidP="00705777">
      <w:pPr>
        <w:pStyle w:val="Heading2"/>
      </w:pPr>
      <w:r>
        <w:lastRenderedPageBreak/>
        <w:t>2.4 GHz</w:t>
      </w:r>
    </w:p>
    <w:p w14:paraId="40D8EADF" w14:textId="4846943E" w:rsidR="00763491" w:rsidRDefault="00705777" w:rsidP="00763491">
      <w:pPr>
        <w:pStyle w:val="BodyText"/>
        <w:rPr>
          <w:lang w:eastAsia="ko-KR"/>
        </w:rPr>
      </w:pPr>
      <w:r>
        <w:rPr>
          <w:lang w:eastAsia="ko-KR"/>
        </w:rPr>
        <w:t xml:space="preserve">The 2.4-2.4835 </w:t>
      </w:r>
      <w:r>
        <w:rPr>
          <w:rFonts w:hint="eastAsia"/>
          <w:lang w:eastAsia="ko-KR"/>
        </w:rPr>
        <w:t>GH</w:t>
      </w:r>
      <w:r>
        <w:rPr>
          <w:lang w:eastAsia="ko-KR"/>
        </w:rPr>
        <w:t>z ISM band has global availability and it is used by Wi-Fi technology family (11b/g/n/ax)</w:t>
      </w:r>
      <w:r w:rsidR="002221D4">
        <w:rPr>
          <w:lang w:eastAsia="ko-KR"/>
        </w:rPr>
        <w:t xml:space="preserve"> and also by Bluetooth.</w:t>
      </w:r>
    </w:p>
    <w:p w14:paraId="3D2589E4" w14:textId="7662DB1E" w:rsidR="00763491" w:rsidRDefault="005C6597" w:rsidP="00763491">
      <w:pPr>
        <w:pStyle w:val="BodyText"/>
        <w:rPr>
          <w:lang w:eastAsia="ko-KR"/>
        </w:rPr>
      </w:pPr>
      <w:r w:rsidRPr="00763491">
        <w:rPr>
          <w:b/>
          <w:lang w:eastAsia="ko-KR"/>
        </w:rPr>
        <w:t>Ericsson view</w:t>
      </w:r>
      <w:r>
        <w:rPr>
          <w:lang w:eastAsia="ko-KR"/>
        </w:rPr>
        <w:t>:</w:t>
      </w:r>
    </w:p>
    <w:p w14:paraId="4AFD69EF" w14:textId="60E624CE" w:rsidR="00763491" w:rsidRPr="00763491" w:rsidRDefault="00763491" w:rsidP="00763491">
      <w:pPr>
        <w:pStyle w:val="BodyText"/>
        <w:rPr>
          <w:rFonts w:eastAsia="Malgun Gothic"/>
        </w:rPr>
      </w:pPr>
      <w:r w:rsidRPr="00763491">
        <w:rPr>
          <w:rFonts w:eastAsia="Malgun Gothic"/>
        </w:rPr>
        <w:t>T</w:t>
      </w:r>
      <w:r w:rsidR="005C6597" w:rsidRPr="00763491">
        <w:rPr>
          <w:rFonts w:eastAsia="Malgun Gothic"/>
        </w:rPr>
        <w:t xml:space="preserve">he 2.4 GHz band is already congested, making NR-U </w:t>
      </w:r>
      <w:r w:rsidRPr="00763491">
        <w:rPr>
          <w:rFonts w:eastAsia="Malgun Gothic"/>
        </w:rPr>
        <w:t>performance questionable</w:t>
      </w:r>
      <w:r>
        <w:rPr>
          <w:rFonts w:eastAsia="Malgun Gothic"/>
        </w:rPr>
        <w:t>.</w:t>
      </w:r>
    </w:p>
    <w:p w14:paraId="758E8D5B" w14:textId="20470969" w:rsidR="005C6597" w:rsidRPr="007809FE" w:rsidRDefault="00763491" w:rsidP="00763491">
      <w:pPr>
        <w:pStyle w:val="Proposal"/>
        <w:rPr>
          <w:lang w:eastAsia="ko-KR"/>
        </w:rPr>
      </w:pPr>
      <w:bookmarkStart w:id="5" w:name="_Toc503302550"/>
      <w:bookmarkStart w:id="6" w:name="_Toc503548783"/>
      <w:bookmarkStart w:id="7" w:name="_Toc505274112"/>
      <w:bookmarkStart w:id="8" w:name="_Toc506568054"/>
      <w:r>
        <w:rPr>
          <w:rFonts w:eastAsia="Malgun Gothic"/>
        </w:rPr>
        <w:t>T</w:t>
      </w:r>
      <w:r w:rsidR="005C6597" w:rsidRPr="002D52FB">
        <w:rPr>
          <w:rFonts w:eastAsia="Malgun Gothic"/>
        </w:rPr>
        <w:t xml:space="preserve">he 2.4 GHz band </w:t>
      </w:r>
      <w:r w:rsidR="00C97FD2">
        <w:rPr>
          <w:rFonts w:eastAsia="Malgun Gothic"/>
        </w:rPr>
        <w:t>can</w:t>
      </w:r>
      <w:r>
        <w:rPr>
          <w:rFonts w:eastAsia="Malgun Gothic"/>
        </w:rPr>
        <w:t xml:space="preserve"> be down-prioritized for NR-U operation</w:t>
      </w:r>
      <w:bookmarkEnd w:id="5"/>
      <w:bookmarkEnd w:id="6"/>
      <w:bookmarkEnd w:id="7"/>
      <w:bookmarkEnd w:id="8"/>
    </w:p>
    <w:p w14:paraId="79496744" w14:textId="77777777" w:rsidR="007809FE" w:rsidRPr="00705777" w:rsidRDefault="007809FE" w:rsidP="007809FE">
      <w:pPr>
        <w:pStyle w:val="BodyText"/>
        <w:rPr>
          <w:lang w:eastAsia="ko-KR"/>
        </w:rPr>
      </w:pPr>
    </w:p>
    <w:p w14:paraId="279E6B78" w14:textId="15CF328E" w:rsidR="00705777" w:rsidRDefault="00705777" w:rsidP="00705777">
      <w:pPr>
        <w:pStyle w:val="Heading2"/>
      </w:pPr>
      <w:r>
        <w:t>3.5 GHz</w:t>
      </w:r>
    </w:p>
    <w:p w14:paraId="4229604E" w14:textId="77777777" w:rsidR="000D3C74" w:rsidRDefault="000D3C74" w:rsidP="000D3C74">
      <w:pPr>
        <w:pStyle w:val="BodyText"/>
        <w:rPr>
          <w:lang w:eastAsia="ko-KR"/>
        </w:rPr>
      </w:pPr>
      <w:r>
        <w:rPr>
          <w:lang w:eastAsia="ko-KR"/>
        </w:rPr>
        <w:t>In the US, the Citizens Broadband Radio Service (CBRS) band in 3.55-3.7 GHz has a unique three tier access model with federal radar and fixed satellite service (FSS) incumbents forming the first tier. Wireless Broadband Service (WBS) users are also included in first tier and are grandfathered until 2020 under FCC rules in 47 CFR Part 90 Subpart Z. The 2</w:t>
      </w:r>
      <w:r w:rsidRPr="000D3C74">
        <w:rPr>
          <w:vertAlign w:val="superscript"/>
          <w:lang w:eastAsia="ko-KR"/>
        </w:rPr>
        <w:t>nd</w:t>
      </w:r>
      <w:r>
        <w:rPr>
          <w:lang w:eastAsia="ko-KR"/>
        </w:rPr>
        <w:t xml:space="preserve"> tier consists of licensed broadband users, called Priority Access Licensees (PAL). The 3</w:t>
      </w:r>
      <w:r w:rsidRPr="000D3C74">
        <w:rPr>
          <w:vertAlign w:val="superscript"/>
          <w:lang w:eastAsia="ko-KR"/>
        </w:rPr>
        <w:t>rd</w:t>
      </w:r>
      <w:r>
        <w:rPr>
          <w:lang w:eastAsia="ko-KR"/>
        </w:rPr>
        <w:t xml:space="preserve"> tier consists of General Authorized Access (GAA) users who are licensed by rule.</w:t>
      </w:r>
    </w:p>
    <w:p w14:paraId="681351BB" w14:textId="77777777" w:rsidR="00AC7AD2" w:rsidRDefault="000D3C74" w:rsidP="000D3C74">
      <w:pPr>
        <w:pStyle w:val="BodyText"/>
        <w:rPr>
          <w:lang w:eastAsia="ko-KR"/>
        </w:rPr>
      </w:pPr>
      <w:r>
        <w:rPr>
          <w:lang w:eastAsia="ko-KR"/>
        </w:rPr>
        <w:t xml:space="preserve">Access to the spectrum for the CBRS is authorized by a Spectrum Access System </w:t>
      </w:r>
      <w:r w:rsidR="00AC7AD2">
        <w:rPr>
          <w:lang w:eastAsia="ko-KR"/>
        </w:rPr>
        <w:t xml:space="preserve">(SAS) </w:t>
      </w:r>
      <w:r>
        <w:rPr>
          <w:lang w:eastAsia="ko-KR"/>
        </w:rPr>
        <w:t>whose primary function is to protect higher tiers from interference from lower tiers.  The SAS is primarily a geolocation database and policy manager. Flexible use of the band is authorized for mobile and fixed use by devices known as Citizens Broadband Radio Service Devices (CBSD) for communicati</w:t>
      </w:r>
      <w:r w:rsidR="00AC7AD2">
        <w:rPr>
          <w:lang w:eastAsia="ko-KR"/>
        </w:rPr>
        <w:t>on with End User Devices (EUD).</w:t>
      </w:r>
    </w:p>
    <w:p w14:paraId="157D7F33" w14:textId="0E247C99" w:rsidR="000D3C74" w:rsidRDefault="000D3C74" w:rsidP="000D3C74">
      <w:pPr>
        <w:pStyle w:val="BodyText"/>
        <w:rPr>
          <w:lang w:eastAsia="ko-KR"/>
        </w:rPr>
      </w:pPr>
      <w:r>
        <w:rPr>
          <w:lang w:eastAsia="ko-KR"/>
        </w:rPr>
        <w:t>CBSDs are registered</w:t>
      </w:r>
      <w:r w:rsidR="00AC7AD2">
        <w:rPr>
          <w:lang w:eastAsia="ko-KR"/>
        </w:rPr>
        <w:t xml:space="preserve"> with the SAS in two categories: </w:t>
      </w:r>
      <w:r>
        <w:rPr>
          <w:lang w:eastAsia="ko-KR"/>
        </w:rPr>
        <w:t>A and B. PAL users are licensed in geographical license areas over multi-year periods, and deployments of CBSDs holding PALs are protected from interference on a priority basis. GAA users do not get protection from mutual interference, although Category B CBSDs (deployed outdoors) seeking GAA spectrum are required to coordinate their spectrum use in the band.  An Environmental Sensor Component (ESC) is deployed along the coastline to detect incumbent naval radar activity, and such detection causes the SAS to activate Dynamic Protection Areas (DPA) offshore that are protected from aggregate interference exceeding an agreed threshold. FSS earth stations and WBS users are likewise protected from aggregate interference under specific criteria defined in the FCC rules for the CBRS in 47 CFR Part 96.</w:t>
      </w:r>
    </w:p>
    <w:p w14:paraId="1CA07F5A" w14:textId="77777777" w:rsidR="00763491" w:rsidRDefault="005C6597" w:rsidP="00763491">
      <w:pPr>
        <w:pStyle w:val="BodyText"/>
        <w:rPr>
          <w:lang w:eastAsia="ko-KR"/>
        </w:rPr>
      </w:pPr>
      <w:r w:rsidRPr="00763491">
        <w:rPr>
          <w:b/>
          <w:lang w:eastAsia="ko-KR"/>
        </w:rPr>
        <w:t>Ericsson view</w:t>
      </w:r>
      <w:r>
        <w:rPr>
          <w:lang w:eastAsia="ko-KR"/>
        </w:rPr>
        <w:t>:</w:t>
      </w:r>
    </w:p>
    <w:p w14:paraId="2EC57FA5" w14:textId="215F42B2" w:rsidR="00AC7AD2" w:rsidRDefault="000D3C74" w:rsidP="000D3C74">
      <w:pPr>
        <w:pStyle w:val="BodyText"/>
      </w:pPr>
      <w:bookmarkStart w:id="9" w:name="_Toc503302551"/>
      <w:bookmarkStart w:id="10" w:name="_Toc503548784"/>
      <w:bookmarkStart w:id="11" w:name="_Toc505274113"/>
      <w:r>
        <w:t>As described above, the CBRS band in the US is shared by CBSDs and access to spectrum is authorized by the SAS. While the FCC rules suggest that CBSDs coordinate access to the spectrum, the WInnForum protocols between the SAS and the CBSD accord the SAS a greater role in designating specific blocks of spectrum for individual CBSDs to use. Generally, the SAS may seek to restrict access to spectrum that is likely to cau</w:t>
      </w:r>
      <w:r w:rsidR="00AC7AD2">
        <w:t>se interference to other users. I</w:t>
      </w:r>
      <w:r>
        <w:t>n the case of GAA</w:t>
      </w:r>
      <w:r w:rsidR="00AC7AD2">
        <w:t>, such restriction is according to the expected noise rise in the local environment based on the density of deployed CBSDs.</w:t>
      </w:r>
    </w:p>
    <w:p w14:paraId="6AF5086B" w14:textId="6663B7B1" w:rsidR="000D3C74" w:rsidRDefault="00AC7AD2" w:rsidP="000D3C74">
      <w:pPr>
        <w:pStyle w:val="BodyText"/>
      </w:pPr>
      <w:r>
        <w:t>While t</w:t>
      </w:r>
      <w:r w:rsidR="000D3C74">
        <w:t xml:space="preserve">he SAS has a role in allocating spectrum in a manner that controls overall interference, devices will still have to be designed to operate in a variety of interference scenarios. The decision in the CBRS Alliance to prioritize LTE TDD operation in the band suggests that NR NSA and NR SA will play a </w:t>
      </w:r>
      <w:r>
        <w:t xml:space="preserve">prominent role in the band as well. </w:t>
      </w:r>
      <w:r w:rsidR="000D3C74">
        <w:t>The consideration of NR-U may therefore be deprioritized</w:t>
      </w:r>
      <w:r>
        <w:t xml:space="preserve">, </w:t>
      </w:r>
      <w:r w:rsidR="00092812">
        <w:t xml:space="preserve">but may be </w:t>
      </w:r>
      <w:r w:rsidR="000D3C74">
        <w:t>motivated at an appropriate time by clear evidence of market demand.</w:t>
      </w:r>
    </w:p>
    <w:p w14:paraId="48D331CD" w14:textId="5FB5D561" w:rsidR="00705777" w:rsidRDefault="00763491" w:rsidP="00705777">
      <w:pPr>
        <w:pStyle w:val="Proposal"/>
        <w:rPr>
          <w:rFonts w:eastAsia="Malgun Gothic"/>
        </w:rPr>
      </w:pPr>
      <w:bookmarkStart w:id="12" w:name="_Toc506568055"/>
      <w:r>
        <w:rPr>
          <w:rFonts w:eastAsia="Malgun Gothic"/>
        </w:rPr>
        <w:t>The</w:t>
      </w:r>
      <w:r w:rsidR="005C6597">
        <w:rPr>
          <w:rFonts w:eastAsia="Malgun Gothic"/>
        </w:rPr>
        <w:t xml:space="preserve"> 3.5 GHz band can be </w:t>
      </w:r>
      <w:r w:rsidR="00C97FD2">
        <w:rPr>
          <w:rFonts w:eastAsia="Malgun Gothic"/>
        </w:rPr>
        <w:t>down-prioritized</w:t>
      </w:r>
      <w:r>
        <w:rPr>
          <w:rFonts w:eastAsia="Malgun Gothic"/>
        </w:rPr>
        <w:t xml:space="preserve"> for NR-U operation</w:t>
      </w:r>
      <w:bookmarkEnd w:id="9"/>
      <w:bookmarkEnd w:id="10"/>
      <w:bookmarkEnd w:id="11"/>
      <w:bookmarkEnd w:id="12"/>
    </w:p>
    <w:p w14:paraId="482CE233" w14:textId="3EE8D2B6" w:rsidR="000D3C74" w:rsidRPr="00763491" w:rsidRDefault="000D3C74" w:rsidP="007809FE">
      <w:pPr>
        <w:pStyle w:val="BodyText"/>
        <w:rPr>
          <w:rFonts w:eastAsia="Malgun Gothic"/>
        </w:rPr>
      </w:pPr>
    </w:p>
    <w:p w14:paraId="1234E4EE" w14:textId="5916ECA5" w:rsidR="00705777" w:rsidRDefault="00705777" w:rsidP="00705777">
      <w:pPr>
        <w:pStyle w:val="Heading2"/>
      </w:pPr>
      <w:r>
        <w:t>5 GHz</w:t>
      </w:r>
    </w:p>
    <w:p w14:paraId="5F814C2F" w14:textId="0563313C" w:rsidR="00705777" w:rsidRDefault="00705777" w:rsidP="00763491">
      <w:pPr>
        <w:pStyle w:val="BodyText"/>
        <w:rPr>
          <w:lang w:eastAsia="ko-KR"/>
        </w:rPr>
      </w:pPr>
      <w:r>
        <w:rPr>
          <w:lang w:eastAsia="ko-KR"/>
        </w:rPr>
        <w:t xml:space="preserve">The 5 GHz band has common availability in most parts of the world. </w:t>
      </w:r>
      <w:r w:rsidR="002221D4">
        <w:rPr>
          <w:lang w:eastAsia="ko-KR"/>
        </w:rPr>
        <w:t>In the US (FCC part 15), it</w:t>
      </w:r>
      <w:r>
        <w:rPr>
          <w:lang w:eastAsia="ko-KR"/>
        </w:rPr>
        <w:t xml:space="preserve"> </w:t>
      </w:r>
      <w:r w:rsidR="002221D4">
        <w:rPr>
          <w:lang w:eastAsia="ko-KR"/>
        </w:rPr>
        <w:t>includes</w:t>
      </w:r>
      <w:r>
        <w:rPr>
          <w:lang w:eastAsia="ko-KR"/>
        </w:rPr>
        <w:t xml:space="preserve"> 5.15-5.25 </w:t>
      </w:r>
      <w:r>
        <w:rPr>
          <w:rFonts w:hint="eastAsia"/>
          <w:lang w:eastAsia="ko-KR"/>
        </w:rPr>
        <w:t>G</w:t>
      </w:r>
      <w:r>
        <w:rPr>
          <w:lang w:eastAsia="ko-KR"/>
        </w:rPr>
        <w:t xml:space="preserve">Hz, 5.25-5.35 GHz, 5.47-5.725 GHz, </w:t>
      </w:r>
      <w:r>
        <w:rPr>
          <w:rFonts w:hint="eastAsia"/>
          <w:lang w:eastAsia="ko-KR"/>
        </w:rPr>
        <w:t>a</w:t>
      </w:r>
      <w:r>
        <w:rPr>
          <w:lang w:eastAsia="ko-KR"/>
        </w:rPr>
        <w:t>nd</w:t>
      </w:r>
      <w:r>
        <w:rPr>
          <w:rFonts w:hint="eastAsia"/>
          <w:lang w:eastAsia="ko-KR"/>
        </w:rPr>
        <w:t xml:space="preserve"> </w:t>
      </w:r>
      <w:r>
        <w:rPr>
          <w:lang w:eastAsia="ko-KR"/>
        </w:rPr>
        <w:t xml:space="preserve">5.725-5.85 GHz bands, </w:t>
      </w:r>
      <w:r w:rsidR="002221D4">
        <w:rPr>
          <w:lang w:eastAsia="ko-KR"/>
        </w:rPr>
        <w:t xml:space="preserve">for a total of </w:t>
      </w:r>
      <w:r>
        <w:rPr>
          <w:lang w:eastAsia="ko-KR"/>
        </w:rPr>
        <w:t>500 MHz</w:t>
      </w:r>
      <w:r w:rsidR="002221D4">
        <w:rPr>
          <w:lang w:eastAsia="ko-KR"/>
        </w:rPr>
        <w:t xml:space="preserve"> across the 4 U-NII bands</w:t>
      </w:r>
      <w:r>
        <w:rPr>
          <w:lang w:eastAsia="ko-KR"/>
        </w:rPr>
        <w:t xml:space="preserve">. In </w:t>
      </w:r>
      <w:r w:rsidR="002221D4">
        <w:rPr>
          <w:lang w:eastAsia="ko-KR"/>
        </w:rPr>
        <w:t xml:space="preserve">the </w:t>
      </w:r>
      <w:r>
        <w:rPr>
          <w:rFonts w:hint="eastAsia"/>
          <w:lang w:eastAsia="ko-KR"/>
        </w:rPr>
        <w:t>EU</w:t>
      </w:r>
      <w:r>
        <w:rPr>
          <w:lang w:eastAsia="ko-KR"/>
        </w:rPr>
        <w:t xml:space="preserve"> (ETSI EN 301 893), </w:t>
      </w:r>
      <w:r w:rsidR="002221D4">
        <w:rPr>
          <w:lang w:eastAsia="ko-KR"/>
        </w:rPr>
        <w:t>b</w:t>
      </w:r>
      <w:r>
        <w:rPr>
          <w:lang w:eastAsia="ko-KR"/>
        </w:rPr>
        <w:t>and 4 spans over</w:t>
      </w:r>
      <w:r>
        <w:rPr>
          <w:rFonts w:hint="eastAsia"/>
          <w:lang w:eastAsia="ko-KR"/>
        </w:rPr>
        <w:t xml:space="preserve"> </w:t>
      </w:r>
      <w:r>
        <w:rPr>
          <w:lang w:eastAsia="ko-KR"/>
        </w:rPr>
        <w:t xml:space="preserve">5.725-5.875 </w:t>
      </w:r>
      <w:r>
        <w:rPr>
          <w:rFonts w:hint="eastAsia"/>
          <w:lang w:eastAsia="ko-KR"/>
        </w:rPr>
        <w:t>GHz</w:t>
      </w:r>
      <w:r>
        <w:rPr>
          <w:lang w:eastAsia="ko-KR"/>
        </w:rPr>
        <w:t>, in which the wireless access systems (WAS) are not operating</w:t>
      </w:r>
      <w:r w:rsidR="002221D4">
        <w:rPr>
          <w:lang w:eastAsia="ko-KR"/>
        </w:rPr>
        <w:t>. Note: the UK now allows WAS in 5.725-5.850 GHz (as DFS band) and other EU countries may follow</w:t>
      </w:r>
      <w:r>
        <w:rPr>
          <w:lang w:eastAsia="ko-KR"/>
        </w:rPr>
        <w:t>. In China, band 3 is TBD. In Japan, band 4 is not available. The 5</w:t>
      </w:r>
      <w:r>
        <w:rPr>
          <w:rFonts w:hint="eastAsia"/>
          <w:lang w:eastAsia="ko-KR"/>
        </w:rPr>
        <w:t xml:space="preserve"> </w:t>
      </w:r>
      <w:r>
        <w:rPr>
          <w:lang w:eastAsia="ko-KR"/>
        </w:rPr>
        <w:t xml:space="preserve">GHz band is utilized by Wi-Fi technology family (11n/ac/ax) and the LTE unlicensed technology has also </w:t>
      </w:r>
      <w:r w:rsidR="002221D4">
        <w:rPr>
          <w:lang w:eastAsia="ko-KR"/>
        </w:rPr>
        <w:t xml:space="preserve">been </w:t>
      </w:r>
      <w:r>
        <w:rPr>
          <w:lang w:eastAsia="ko-KR"/>
        </w:rPr>
        <w:t xml:space="preserve">developed assuming 5 GHz as </w:t>
      </w:r>
      <w:r w:rsidR="002221D4">
        <w:rPr>
          <w:lang w:eastAsia="ko-KR"/>
        </w:rPr>
        <w:t>the main target.</w:t>
      </w:r>
    </w:p>
    <w:p w14:paraId="49647C40" w14:textId="42D61EE3" w:rsidR="005C6597" w:rsidRDefault="005C6597" w:rsidP="00763491">
      <w:pPr>
        <w:pStyle w:val="BodyText"/>
        <w:rPr>
          <w:lang w:eastAsia="ko-KR"/>
        </w:rPr>
      </w:pPr>
      <w:r w:rsidRPr="005C6597">
        <w:rPr>
          <w:b/>
          <w:lang w:eastAsia="ko-KR"/>
        </w:rPr>
        <w:t>Ericsson view</w:t>
      </w:r>
      <w:r>
        <w:rPr>
          <w:lang w:eastAsia="ko-KR"/>
        </w:rPr>
        <w:t>:</w:t>
      </w:r>
    </w:p>
    <w:p w14:paraId="327CF83A" w14:textId="4938ACBE" w:rsidR="005C6597" w:rsidRDefault="005C6597" w:rsidP="00763491">
      <w:pPr>
        <w:pStyle w:val="BodyText"/>
        <w:rPr>
          <w:rFonts w:eastAsia="Malgun Gothic"/>
        </w:rPr>
      </w:pPr>
      <w:r w:rsidRPr="00763491">
        <w:rPr>
          <w:rFonts w:eastAsia="Malgun Gothic"/>
        </w:rPr>
        <w:lastRenderedPageBreak/>
        <w:t>The 5 GHz band is widely available around the world, hence this band is a prime candidate for NR-U operation. Our view is that similar channel access principles as those adopted for LAA designs can be followed for the NR-U design to enable coexistence with LAA and other technologies in this band. These channel access principles have been evaluated and discussed extensively during the LAA WI and need not be repeated for NR-U in this band. Hence, for this band and, in general, any existing LAA operation bands, discussion on radio protocol designs for NR-U can start immediately.</w:t>
      </w:r>
    </w:p>
    <w:p w14:paraId="2B6BCEA5" w14:textId="0B374F47" w:rsidR="005C6597" w:rsidRDefault="00763491" w:rsidP="00763491">
      <w:pPr>
        <w:pStyle w:val="Proposal"/>
        <w:rPr>
          <w:rFonts w:eastAsia="Malgun Gothic"/>
        </w:rPr>
      </w:pPr>
      <w:bookmarkStart w:id="13" w:name="_Toc503302552"/>
      <w:bookmarkStart w:id="14" w:name="_Toc503548785"/>
      <w:bookmarkStart w:id="15" w:name="_Toc505274114"/>
      <w:bookmarkStart w:id="16" w:name="_Toc506568056"/>
      <w:r>
        <w:rPr>
          <w:rFonts w:eastAsia="Malgun Gothic"/>
        </w:rPr>
        <w:t>The 5 GHz band is a prime candidate for NR-U operation</w:t>
      </w:r>
      <w:bookmarkEnd w:id="13"/>
      <w:bookmarkEnd w:id="14"/>
      <w:bookmarkEnd w:id="15"/>
      <w:bookmarkEnd w:id="16"/>
    </w:p>
    <w:p w14:paraId="63E91582" w14:textId="77777777" w:rsidR="007809FE" w:rsidRPr="00763491" w:rsidRDefault="007809FE" w:rsidP="007809FE">
      <w:pPr>
        <w:pStyle w:val="BodyText"/>
        <w:rPr>
          <w:rFonts w:eastAsia="Malgun Gothic"/>
        </w:rPr>
      </w:pPr>
    </w:p>
    <w:p w14:paraId="0664295E" w14:textId="38265BE0" w:rsidR="00705777" w:rsidRDefault="00705777" w:rsidP="00705777">
      <w:pPr>
        <w:pStyle w:val="Heading2"/>
      </w:pPr>
      <w:r>
        <w:t>6 GHz</w:t>
      </w:r>
    </w:p>
    <w:p w14:paraId="329F7558" w14:textId="3ACBF279" w:rsidR="00705777" w:rsidRDefault="00705777" w:rsidP="00763491">
      <w:pPr>
        <w:pStyle w:val="BodyText"/>
        <w:rPr>
          <w:lang w:eastAsia="ko-KR"/>
        </w:rPr>
      </w:pPr>
      <w:r>
        <w:rPr>
          <w:lang w:eastAsia="ko-KR"/>
        </w:rPr>
        <w:t xml:space="preserve">It is currently being considered to open the 6 GHz band for unlicensed use. </w:t>
      </w:r>
      <w:r w:rsidRPr="00C4287C">
        <w:rPr>
          <w:lang w:eastAsia="ko-KR"/>
        </w:rPr>
        <w:t>5925-7125 MHz</w:t>
      </w:r>
      <w:r>
        <w:rPr>
          <w:lang w:eastAsia="ko-KR"/>
        </w:rPr>
        <w:t xml:space="preserve"> band and </w:t>
      </w:r>
      <w:r w:rsidRPr="00C4287C">
        <w:rPr>
          <w:lang w:eastAsia="ko-KR"/>
        </w:rPr>
        <w:t>5925-6425MHz</w:t>
      </w:r>
      <w:r>
        <w:rPr>
          <w:lang w:eastAsia="ko-KR"/>
        </w:rPr>
        <w:t xml:space="preserve"> band are under consideration in </w:t>
      </w:r>
      <w:r w:rsidR="002221D4">
        <w:rPr>
          <w:lang w:eastAsia="ko-KR"/>
        </w:rPr>
        <w:t xml:space="preserve">the </w:t>
      </w:r>
      <w:r>
        <w:rPr>
          <w:lang w:eastAsia="ko-KR"/>
        </w:rPr>
        <w:t xml:space="preserve">US and EU, respectively. </w:t>
      </w:r>
      <w:r w:rsidR="002221D4">
        <w:rPr>
          <w:lang w:eastAsia="ko-KR"/>
        </w:rPr>
        <w:t>The n</w:t>
      </w:r>
      <w:r w:rsidRPr="00C4287C">
        <w:rPr>
          <w:lang w:eastAsia="ko-KR"/>
        </w:rPr>
        <w:t>ext generation Wi</w:t>
      </w:r>
      <w:r>
        <w:rPr>
          <w:lang w:eastAsia="ko-KR"/>
        </w:rPr>
        <w:t>-</w:t>
      </w:r>
      <w:r w:rsidRPr="00C4287C">
        <w:rPr>
          <w:lang w:eastAsia="ko-KR"/>
        </w:rPr>
        <w:t>Fi</w:t>
      </w:r>
      <w:r>
        <w:rPr>
          <w:lang w:eastAsia="ko-KR"/>
        </w:rPr>
        <w:t xml:space="preserve"> system </w:t>
      </w:r>
      <w:r w:rsidR="002221D4">
        <w:rPr>
          <w:lang w:eastAsia="ko-KR"/>
        </w:rPr>
        <w:t>is</w:t>
      </w:r>
      <w:r>
        <w:rPr>
          <w:lang w:eastAsia="ko-KR"/>
        </w:rPr>
        <w:t xml:space="preserve"> expected to include the 6 GHz spectrum as </w:t>
      </w:r>
      <w:r w:rsidR="002221D4">
        <w:rPr>
          <w:lang w:eastAsia="ko-KR"/>
        </w:rPr>
        <w:t xml:space="preserve">an </w:t>
      </w:r>
      <w:r>
        <w:rPr>
          <w:lang w:eastAsia="ko-KR"/>
        </w:rPr>
        <w:t xml:space="preserve">operating band. Regulation is expected to be finished in </w:t>
      </w:r>
      <w:r w:rsidRPr="00962597">
        <w:rPr>
          <w:lang w:eastAsia="ko-KR"/>
        </w:rPr>
        <w:t>2019</w:t>
      </w:r>
      <w:r>
        <w:rPr>
          <w:lang w:eastAsia="ko-KR"/>
        </w:rPr>
        <w:t>-2020</w:t>
      </w:r>
      <w:r w:rsidRPr="00962597">
        <w:rPr>
          <w:lang w:eastAsia="ko-KR"/>
        </w:rPr>
        <w:t xml:space="preserve"> time frame</w:t>
      </w:r>
      <w:r>
        <w:rPr>
          <w:lang w:eastAsia="ko-KR"/>
        </w:rPr>
        <w:t>.</w:t>
      </w:r>
    </w:p>
    <w:p w14:paraId="3D21E187" w14:textId="703DD98A" w:rsidR="005C6597" w:rsidRDefault="005C6597" w:rsidP="00763491">
      <w:pPr>
        <w:pStyle w:val="BodyText"/>
        <w:rPr>
          <w:lang w:eastAsia="ko-KR"/>
        </w:rPr>
      </w:pPr>
      <w:r w:rsidRPr="005C6597">
        <w:rPr>
          <w:b/>
          <w:lang w:eastAsia="ko-KR"/>
        </w:rPr>
        <w:t>Ericsson view</w:t>
      </w:r>
      <w:r>
        <w:rPr>
          <w:lang w:eastAsia="ko-KR"/>
        </w:rPr>
        <w:t>:</w:t>
      </w:r>
    </w:p>
    <w:p w14:paraId="7DD89E9E" w14:textId="62F187DD" w:rsidR="007809FE" w:rsidRDefault="00763491" w:rsidP="00763491">
      <w:pPr>
        <w:pStyle w:val="BodyText"/>
        <w:rPr>
          <w:rFonts w:eastAsia="Malgun Gothic"/>
        </w:rPr>
      </w:pPr>
      <w:r>
        <w:rPr>
          <w:rFonts w:eastAsia="Malgun Gothic"/>
        </w:rPr>
        <w:t xml:space="preserve">The 6 GHz band can be seen as a greenfield band; moreover, there may be </w:t>
      </w:r>
      <w:r w:rsidR="007809FE">
        <w:rPr>
          <w:rFonts w:eastAsia="Malgun Gothic"/>
        </w:rPr>
        <w:t>a very</w:t>
      </w:r>
      <w:r w:rsidR="005C6597" w:rsidRPr="00763491">
        <w:rPr>
          <w:rFonts w:eastAsia="Malgun Gothic"/>
        </w:rPr>
        <w:t xml:space="preserve"> large amount of bandwidth</w:t>
      </w:r>
      <w:r w:rsidR="007809FE">
        <w:rPr>
          <w:rFonts w:eastAsia="Malgun Gothic"/>
        </w:rPr>
        <w:t xml:space="preserve"> that becomes of available. As such, this band should be targets for NR-U operation with high priority.</w:t>
      </w:r>
    </w:p>
    <w:p w14:paraId="46A9962A" w14:textId="2FB15BB0" w:rsidR="00763491" w:rsidRDefault="007809FE" w:rsidP="00763491">
      <w:pPr>
        <w:pStyle w:val="Proposal"/>
        <w:rPr>
          <w:rFonts w:eastAsia="Malgun Gothic"/>
        </w:rPr>
      </w:pPr>
      <w:bookmarkStart w:id="17" w:name="_Toc503302553"/>
      <w:bookmarkStart w:id="18" w:name="_Toc503548786"/>
      <w:bookmarkStart w:id="19" w:name="_Toc505274115"/>
      <w:bookmarkStart w:id="20" w:name="_Toc506568057"/>
      <w:r>
        <w:rPr>
          <w:rFonts w:eastAsia="Malgun Gothic"/>
        </w:rPr>
        <w:t xml:space="preserve">The </w:t>
      </w:r>
      <w:r w:rsidR="005C6597" w:rsidRPr="00763491">
        <w:rPr>
          <w:rFonts w:eastAsia="Malgun Gothic"/>
        </w:rPr>
        <w:t xml:space="preserve"> 5925-6425</w:t>
      </w:r>
      <w:r>
        <w:rPr>
          <w:rFonts w:eastAsia="Malgun Gothic"/>
        </w:rPr>
        <w:t xml:space="preserve"> </w:t>
      </w:r>
      <w:r w:rsidR="005C6597" w:rsidRPr="00763491">
        <w:rPr>
          <w:rFonts w:eastAsia="Malgun Gothic"/>
        </w:rPr>
        <w:t xml:space="preserve">MHz </w:t>
      </w:r>
      <w:r>
        <w:rPr>
          <w:rFonts w:eastAsia="Malgun Gothic"/>
        </w:rPr>
        <w:t>band is a prime candidate for NR-U operation</w:t>
      </w:r>
      <w:bookmarkEnd w:id="17"/>
      <w:bookmarkEnd w:id="18"/>
      <w:bookmarkEnd w:id="19"/>
      <w:bookmarkEnd w:id="20"/>
    </w:p>
    <w:p w14:paraId="6E1AEC0F" w14:textId="17C13FB1" w:rsidR="007809FE" w:rsidRPr="007809FE" w:rsidRDefault="007809FE" w:rsidP="007809FE">
      <w:pPr>
        <w:pStyle w:val="BodyText"/>
        <w:rPr>
          <w:rFonts w:eastAsia="Malgun Gothic"/>
        </w:rPr>
      </w:pPr>
    </w:p>
    <w:p w14:paraId="47FFED2C" w14:textId="1F26E845" w:rsidR="00705777" w:rsidRDefault="00705777" w:rsidP="00705777">
      <w:pPr>
        <w:pStyle w:val="Heading2"/>
      </w:pPr>
      <w:r>
        <w:t>37 GHz</w:t>
      </w:r>
    </w:p>
    <w:p w14:paraId="32A95684" w14:textId="54BF2EFA" w:rsidR="00705777" w:rsidRDefault="00705777" w:rsidP="00763491">
      <w:pPr>
        <w:pStyle w:val="BodyText"/>
        <w:rPr>
          <w:lang w:eastAsia="ko-KR"/>
        </w:rPr>
      </w:pPr>
      <w:r>
        <w:rPr>
          <w:lang w:eastAsia="ko-KR"/>
        </w:rPr>
        <w:t xml:space="preserve">In </w:t>
      </w:r>
      <w:r w:rsidR="002221D4">
        <w:rPr>
          <w:lang w:eastAsia="ko-KR"/>
        </w:rPr>
        <w:t xml:space="preserve">the </w:t>
      </w:r>
      <w:r>
        <w:rPr>
          <w:lang w:eastAsia="ko-KR"/>
        </w:rPr>
        <w:t xml:space="preserve">US, </w:t>
      </w:r>
      <w:r w:rsidR="002221D4">
        <w:rPr>
          <w:lang w:eastAsia="ko-KR"/>
        </w:rPr>
        <w:t>the 37 – 37.6</w:t>
      </w:r>
      <w:r>
        <w:rPr>
          <w:lang w:eastAsia="ko-KR"/>
        </w:rPr>
        <w:t xml:space="preserve"> GHz band is expected to be opened. </w:t>
      </w:r>
      <w:r>
        <w:t xml:space="preserve">When the FCC published the rules for spectrum frontiers (5G), </w:t>
      </w:r>
      <w:r>
        <w:rPr>
          <w:lang w:eastAsia="ko-KR"/>
        </w:rPr>
        <w:t>it</w:t>
      </w:r>
      <w:r w:rsidRPr="006E45F1">
        <w:rPr>
          <w:lang w:eastAsia="ko-KR"/>
        </w:rPr>
        <w:t xml:space="preserve"> </w:t>
      </w:r>
      <w:r>
        <w:rPr>
          <w:lang w:eastAsia="ko-KR"/>
        </w:rPr>
        <w:t xml:space="preserve">was </w:t>
      </w:r>
      <w:r w:rsidRPr="006E45F1">
        <w:rPr>
          <w:lang w:eastAsia="ko-KR"/>
        </w:rPr>
        <w:t>suggested that the band could be shared between commercial systems and “future” federal systems.</w:t>
      </w:r>
      <w:r>
        <w:rPr>
          <w:lang w:eastAsia="ko-KR"/>
        </w:rPr>
        <w:t xml:space="preserve"> As a result, it is expected that the</w:t>
      </w:r>
      <w:r w:rsidR="002221D4">
        <w:rPr>
          <w:lang w:eastAsia="ko-KR"/>
        </w:rPr>
        <w:t xml:space="preserve"> access mechanism to be defined, </w:t>
      </w:r>
      <w:r>
        <w:rPr>
          <w:lang w:eastAsia="ko-KR"/>
        </w:rPr>
        <w:t>based on sharing framework</w:t>
      </w:r>
      <w:r w:rsidR="002221D4">
        <w:rPr>
          <w:lang w:eastAsia="ko-KR"/>
        </w:rPr>
        <w:t>,</w:t>
      </w:r>
      <w:r>
        <w:rPr>
          <w:lang w:eastAsia="ko-KR"/>
        </w:rPr>
        <w:t xml:space="preserve"> would distinguish this spectrum fr</w:t>
      </w:r>
      <w:r w:rsidR="002221D4">
        <w:rPr>
          <w:lang w:eastAsia="ko-KR"/>
        </w:rPr>
        <w:t>om general unlicensed spectrum.</w:t>
      </w:r>
    </w:p>
    <w:p w14:paraId="457A126C" w14:textId="2629B1B0" w:rsidR="002221D4" w:rsidRDefault="002221D4" w:rsidP="00763491">
      <w:pPr>
        <w:pStyle w:val="BodyText"/>
        <w:rPr>
          <w:lang w:eastAsia="ko-KR"/>
        </w:rPr>
      </w:pPr>
      <w:r w:rsidRPr="005C6597">
        <w:rPr>
          <w:b/>
          <w:lang w:eastAsia="ko-KR"/>
        </w:rPr>
        <w:t>Ericsson view</w:t>
      </w:r>
      <w:r w:rsidR="005C6597">
        <w:rPr>
          <w:lang w:eastAsia="ko-KR"/>
        </w:rPr>
        <w:t>:</w:t>
      </w:r>
    </w:p>
    <w:p w14:paraId="642ECF1D" w14:textId="055C3E4E" w:rsidR="002221D4" w:rsidRDefault="005C6597" w:rsidP="00763491">
      <w:pPr>
        <w:pStyle w:val="BodyText"/>
        <w:rPr>
          <w:rFonts w:eastAsia="Malgun Gothic"/>
        </w:rPr>
      </w:pPr>
      <w:r w:rsidRPr="00763491">
        <w:rPr>
          <w:rFonts w:eastAsia="Malgun Gothic"/>
        </w:rPr>
        <w:t>Due to regulatory uncertainty and potentially only regional availability, our view is that this band can be down-prioritized for NR-U until the status of the band is more clear.</w:t>
      </w:r>
    </w:p>
    <w:p w14:paraId="3ECED714" w14:textId="04E550A5" w:rsidR="007809FE" w:rsidRPr="007809FE" w:rsidRDefault="007809FE" w:rsidP="007809FE">
      <w:pPr>
        <w:pStyle w:val="Proposal"/>
        <w:rPr>
          <w:lang w:eastAsia="ko-KR"/>
        </w:rPr>
      </w:pPr>
      <w:bookmarkStart w:id="21" w:name="_Toc503302554"/>
      <w:bookmarkStart w:id="22" w:name="_Toc503548787"/>
      <w:bookmarkStart w:id="23" w:name="_Toc505274116"/>
      <w:bookmarkStart w:id="24" w:name="_Toc506568058"/>
      <w:r>
        <w:rPr>
          <w:rFonts w:eastAsia="Malgun Gothic"/>
        </w:rPr>
        <w:t xml:space="preserve">The 37 GHz band </w:t>
      </w:r>
      <w:r w:rsidR="00C97FD2">
        <w:rPr>
          <w:rFonts w:eastAsia="Malgun Gothic"/>
        </w:rPr>
        <w:t>can</w:t>
      </w:r>
      <w:r>
        <w:rPr>
          <w:rFonts w:eastAsia="Malgun Gothic"/>
        </w:rPr>
        <w:t xml:space="preserve"> be down-prioritized for NR-U operation</w:t>
      </w:r>
      <w:bookmarkEnd w:id="21"/>
      <w:bookmarkEnd w:id="22"/>
      <w:bookmarkEnd w:id="23"/>
      <w:bookmarkEnd w:id="24"/>
    </w:p>
    <w:p w14:paraId="169F87B4" w14:textId="77777777" w:rsidR="007809FE" w:rsidRPr="00763491" w:rsidRDefault="007809FE" w:rsidP="007809FE">
      <w:pPr>
        <w:pStyle w:val="BodyText"/>
        <w:rPr>
          <w:lang w:eastAsia="ko-KR"/>
        </w:rPr>
      </w:pPr>
    </w:p>
    <w:p w14:paraId="00C5C04C" w14:textId="7E1594F8" w:rsidR="00705777" w:rsidRDefault="00705777" w:rsidP="00705777">
      <w:pPr>
        <w:pStyle w:val="Heading2"/>
      </w:pPr>
      <w:r>
        <w:t>60 GHz</w:t>
      </w:r>
    </w:p>
    <w:p w14:paraId="777E78FB" w14:textId="25D66735" w:rsidR="00705777" w:rsidRPr="00763491" w:rsidRDefault="00705777" w:rsidP="00763491">
      <w:pPr>
        <w:pStyle w:val="BodyText"/>
        <w:rPr>
          <w:lang w:eastAsia="ko-KR"/>
        </w:rPr>
      </w:pPr>
      <w:r w:rsidRPr="00763491">
        <w:rPr>
          <w:lang w:eastAsia="ko-KR"/>
        </w:rPr>
        <w:t xml:space="preserve">The </w:t>
      </w:r>
      <w:r w:rsidR="005C6597" w:rsidRPr="00763491">
        <w:rPr>
          <w:lang w:eastAsia="ko-KR"/>
        </w:rPr>
        <w:t>57 – 64/66</w:t>
      </w:r>
      <w:r w:rsidRPr="00763491">
        <w:rPr>
          <w:lang w:eastAsia="ko-KR"/>
        </w:rPr>
        <w:t xml:space="preserve"> GHz band has near-global designation for Multi-Gigabit Wireless Systems (MGWS)/WiGig</w:t>
      </w:r>
      <w:r w:rsidR="005C6597" w:rsidRPr="00763491">
        <w:rPr>
          <w:lang w:eastAsia="ko-KR"/>
        </w:rPr>
        <w:t xml:space="preserve">. In the US it is up to 71 GHz. In south Korea, it is 57 – 66 GHz. In Australia, it is 59.4-62.90 GHz. In China, it is 56 – 64 GHz. </w:t>
      </w:r>
      <w:r w:rsidRPr="00763491">
        <w:rPr>
          <w:lang w:eastAsia="ko-KR"/>
        </w:rPr>
        <w:t xml:space="preserve">In </w:t>
      </w:r>
      <w:r w:rsidR="005C6597" w:rsidRPr="00763491">
        <w:rPr>
          <w:lang w:eastAsia="ko-KR"/>
        </w:rPr>
        <w:t xml:space="preserve">the </w:t>
      </w:r>
      <w:r w:rsidRPr="00763491">
        <w:rPr>
          <w:lang w:eastAsia="ko-KR"/>
        </w:rPr>
        <w:t xml:space="preserve">US (FCC </w:t>
      </w:r>
      <w:r w:rsidRPr="00763491">
        <w:rPr>
          <w:rFonts w:hint="eastAsia"/>
          <w:lang w:eastAsia="ko-KR"/>
        </w:rPr>
        <w:t>part 1</w:t>
      </w:r>
      <w:r w:rsidRPr="00763491">
        <w:rPr>
          <w:lang w:eastAsia="ko-KR"/>
        </w:rPr>
        <w:t xml:space="preserve">5) allocates total 14 GHz spectrum, while EU (ETSI EN 302 567 </w:t>
      </w:r>
      <w:r w:rsidRPr="00763491">
        <w:rPr>
          <w:rFonts w:hint="eastAsia"/>
          <w:lang w:eastAsia="ko-KR"/>
        </w:rPr>
        <w:t>a</w:t>
      </w:r>
      <w:r w:rsidRPr="00763491">
        <w:rPr>
          <w:lang w:eastAsia="ko-KR"/>
        </w:rPr>
        <w:t>nd</w:t>
      </w:r>
      <w:r w:rsidRPr="00763491">
        <w:rPr>
          <w:rFonts w:hint="eastAsia"/>
          <w:lang w:eastAsia="ko-KR"/>
        </w:rPr>
        <w:t xml:space="preserve"> E</w:t>
      </w:r>
      <w:r w:rsidRPr="00763491">
        <w:rPr>
          <w:lang w:eastAsia="ko-KR"/>
        </w:rPr>
        <w:t>TSI EN 301 217-2 for fixed P2P) allocates total 9 GHz spectrum. The ITU-R is already recommending 57-71 GHz for MGWS systems with channeliza</w:t>
      </w:r>
      <w:r w:rsidR="005C6597" w:rsidRPr="00763491">
        <w:rPr>
          <w:lang w:eastAsia="ko-KR"/>
        </w:rPr>
        <w:t>tion matching that of 802.11ad.</w:t>
      </w:r>
    </w:p>
    <w:p w14:paraId="5756B0E8" w14:textId="032A5487" w:rsidR="002221D4" w:rsidRPr="00763491" w:rsidRDefault="002221D4" w:rsidP="00763491">
      <w:pPr>
        <w:pStyle w:val="BodyText"/>
        <w:rPr>
          <w:lang w:eastAsia="ko-KR"/>
        </w:rPr>
      </w:pPr>
      <w:r w:rsidRPr="00763491">
        <w:rPr>
          <w:b/>
          <w:lang w:eastAsia="ko-KR"/>
        </w:rPr>
        <w:t>Ericsson view</w:t>
      </w:r>
      <w:r w:rsidRPr="00763491">
        <w:rPr>
          <w:lang w:eastAsia="ko-KR"/>
        </w:rPr>
        <w:t>:</w:t>
      </w:r>
    </w:p>
    <w:p w14:paraId="09F95E71" w14:textId="2F473E3E" w:rsidR="005C6597" w:rsidRDefault="005C6597" w:rsidP="00763491">
      <w:pPr>
        <w:pStyle w:val="BodyText"/>
        <w:rPr>
          <w:rFonts w:eastAsia="Malgun Gothic"/>
        </w:rPr>
      </w:pPr>
      <w:r w:rsidRPr="00763491">
        <w:rPr>
          <w:rFonts w:eastAsia="Malgun Gothic"/>
        </w:rPr>
        <w:t xml:space="preserve">Our view is that since NR already supports multiple numerologies to enable high frequency operation, it is desirable that NR-U design does not deviate from this in a significant way, resulting in a generally band agnostic design. In terms of channel access, our view is that enhancements may be studied considering high gain beamforming (narrow beam) capabilities of devices operating at such high frequencies. However, workplan wise, we consider it appropriate to consider such investigations </w:t>
      </w:r>
      <w:r w:rsidRPr="00763491">
        <w:rPr>
          <w:rFonts w:eastAsia="Malgun Gothic"/>
          <w:i/>
        </w:rPr>
        <w:t>after</w:t>
      </w:r>
      <w:r w:rsidRPr="00763491">
        <w:rPr>
          <w:rFonts w:eastAsia="Malgun Gothic"/>
        </w:rPr>
        <w:t xml:space="preserve"> the general channel access scheme discussion for lower bands, e.g., 5 GHz, 6 GHz is complete.</w:t>
      </w:r>
    </w:p>
    <w:p w14:paraId="5B2B8B1E" w14:textId="59C6B3C1" w:rsidR="007809FE" w:rsidRPr="00763491" w:rsidRDefault="00C97FD2" w:rsidP="007809FE">
      <w:pPr>
        <w:pStyle w:val="Proposal"/>
        <w:rPr>
          <w:rFonts w:eastAsia="Malgun Gothic"/>
        </w:rPr>
      </w:pPr>
      <w:bookmarkStart w:id="25" w:name="_Toc503302555"/>
      <w:bookmarkStart w:id="26" w:name="_Toc503548788"/>
      <w:bookmarkStart w:id="27" w:name="_Toc505274117"/>
      <w:bookmarkStart w:id="28" w:name="_Toc506568059"/>
      <w:r>
        <w:rPr>
          <w:rFonts w:eastAsia="Malgun Gothic"/>
        </w:rPr>
        <w:t>T</w:t>
      </w:r>
      <w:r w:rsidR="007809FE">
        <w:rPr>
          <w:rFonts w:eastAsia="Malgun Gothic"/>
        </w:rPr>
        <w:t xml:space="preserve">he 60 GHz band can be considered as a candidate for NR-U operation; however, </w:t>
      </w:r>
      <w:r>
        <w:rPr>
          <w:rFonts w:eastAsia="Malgun Gothic"/>
        </w:rPr>
        <w:t>any</w:t>
      </w:r>
      <w:r w:rsidR="007809FE">
        <w:rPr>
          <w:rFonts w:eastAsia="Malgun Gothic"/>
        </w:rPr>
        <w:t xml:space="preserve"> optimizations for operation in this band </w:t>
      </w:r>
      <w:r>
        <w:rPr>
          <w:rFonts w:eastAsia="Malgun Gothic"/>
        </w:rPr>
        <w:t xml:space="preserve">(if needed) </w:t>
      </w:r>
      <w:r w:rsidR="007809FE">
        <w:rPr>
          <w:rFonts w:eastAsia="Malgun Gothic"/>
        </w:rPr>
        <w:t>should be considered after the channel access scheme for lower frequency bands (sub-7 GHz) is complete.</w:t>
      </w:r>
      <w:bookmarkEnd w:id="25"/>
      <w:bookmarkEnd w:id="26"/>
      <w:bookmarkEnd w:id="27"/>
      <w:bookmarkEnd w:id="28"/>
      <w:r w:rsidR="007809FE">
        <w:rPr>
          <w:rFonts w:eastAsia="Malgun Gothic"/>
        </w:rPr>
        <w:t xml:space="preserve"> </w:t>
      </w:r>
    </w:p>
    <w:p w14:paraId="1D00F737" w14:textId="47305FCC" w:rsidR="00705777" w:rsidRDefault="007809FE" w:rsidP="007809FE">
      <w:pPr>
        <w:pStyle w:val="Heading1"/>
      </w:pPr>
      <w:r>
        <w:lastRenderedPageBreak/>
        <w:t>Conclusions</w:t>
      </w:r>
    </w:p>
    <w:p w14:paraId="25D7E522" w14:textId="4466A2FC" w:rsidR="007809FE" w:rsidRDefault="007809FE" w:rsidP="007809FE">
      <w:r>
        <w:t>In this paper we propose the following:</w:t>
      </w:r>
    </w:p>
    <w:p w14:paraId="065FF9A4" w14:textId="77777777" w:rsidR="005F0ACB" w:rsidRDefault="007809FE">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\t "Proposal,1" </w:instrText>
      </w:r>
      <w:r>
        <w:rPr>
          <w:b w:val="0"/>
        </w:rPr>
        <w:fldChar w:fldCharType="separate"/>
      </w:r>
      <w:bookmarkStart w:id="29" w:name="_GoBack"/>
      <w:bookmarkEnd w:id="29"/>
      <w:r w:rsidR="005F0ACB">
        <w:rPr>
          <w:lang w:eastAsia="ko-KR"/>
        </w:rPr>
        <w:t>Proposal 1</w:t>
      </w:r>
      <w:r w:rsidR="005F0ACB">
        <w:rPr>
          <w:rFonts w:asciiTheme="minorHAnsi" w:eastAsiaTheme="minorEastAsia" w:hAnsiTheme="minorHAnsi" w:cstheme="minorBidi"/>
          <w:b w:val="0"/>
          <w:sz w:val="22"/>
          <w:lang w:eastAsia="en-US"/>
        </w:rPr>
        <w:tab/>
      </w:r>
      <w:r w:rsidR="005F0ACB" w:rsidRPr="006F0557">
        <w:rPr>
          <w:rFonts w:eastAsia="Malgun Gothic"/>
        </w:rPr>
        <w:t>The sub-1 GHz band can be down-prioritized for eMBB NR-U operation</w:t>
      </w:r>
    </w:p>
    <w:p w14:paraId="2AF8B2EA" w14:textId="77777777" w:rsidR="005F0ACB" w:rsidRDefault="005F0ACB">
      <w:pPr>
        <w:pStyle w:val="TOC1"/>
        <w:rPr>
          <w:rFonts w:asciiTheme="minorHAnsi" w:eastAsiaTheme="minorEastAsia" w:hAnsiTheme="minorHAnsi" w:cstheme="minorBidi"/>
          <w:b w:val="0"/>
          <w:sz w:val="22"/>
          <w:lang w:eastAsia="en-US"/>
        </w:rPr>
      </w:pPr>
      <w:r>
        <w:rPr>
          <w:lang w:eastAsia="ko-KR"/>
        </w:rPr>
        <w:t>Proposal 2</w:t>
      </w:r>
      <w:r>
        <w:rPr>
          <w:rFonts w:asciiTheme="minorHAnsi" w:eastAsiaTheme="minorEastAsia" w:hAnsiTheme="minorHAnsi" w:cstheme="minorBidi"/>
          <w:b w:val="0"/>
          <w:sz w:val="22"/>
          <w:lang w:eastAsia="en-US"/>
        </w:rPr>
        <w:tab/>
      </w:r>
      <w:r w:rsidRPr="006F0557">
        <w:rPr>
          <w:rFonts w:eastAsia="Malgun Gothic"/>
        </w:rPr>
        <w:t>The 2.4 GHz band can be down-prioritized for NR-U operation</w:t>
      </w:r>
    </w:p>
    <w:p w14:paraId="21F4868A" w14:textId="77777777" w:rsidR="005F0ACB" w:rsidRDefault="005F0ACB">
      <w:pPr>
        <w:pStyle w:val="TOC1"/>
        <w:rPr>
          <w:rFonts w:asciiTheme="minorHAnsi" w:eastAsiaTheme="minorEastAsia" w:hAnsiTheme="minorHAnsi" w:cstheme="minorBidi"/>
          <w:b w:val="0"/>
          <w:sz w:val="22"/>
          <w:lang w:eastAsia="en-US"/>
        </w:rPr>
      </w:pPr>
      <w:r w:rsidRPr="006F0557">
        <w:rPr>
          <w:rFonts w:eastAsia="Malgun Gothic"/>
        </w:rPr>
        <w:t>Proposal 3</w:t>
      </w:r>
      <w:r>
        <w:rPr>
          <w:rFonts w:asciiTheme="minorHAnsi" w:eastAsiaTheme="minorEastAsia" w:hAnsiTheme="minorHAnsi" w:cstheme="minorBidi"/>
          <w:b w:val="0"/>
          <w:sz w:val="22"/>
          <w:lang w:eastAsia="en-US"/>
        </w:rPr>
        <w:tab/>
      </w:r>
      <w:r w:rsidRPr="006F0557">
        <w:rPr>
          <w:rFonts w:eastAsia="Malgun Gothic"/>
        </w:rPr>
        <w:t>The 3.5 GHz band can be down-prioritized for NR-U operation</w:t>
      </w:r>
    </w:p>
    <w:p w14:paraId="3CDA1335" w14:textId="77777777" w:rsidR="005F0ACB" w:rsidRDefault="005F0ACB">
      <w:pPr>
        <w:pStyle w:val="TOC1"/>
        <w:rPr>
          <w:rFonts w:asciiTheme="minorHAnsi" w:eastAsiaTheme="minorEastAsia" w:hAnsiTheme="minorHAnsi" w:cstheme="minorBidi"/>
          <w:b w:val="0"/>
          <w:sz w:val="22"/>
          <w:lang w:eastAsia="en-US"/>
        </w:rPr>
      </w:pPr>
      <w:r w:rsidRPr="006F0557">
        <w:rPr>
          <w:rFonts w:eastAsia="Malgun Gothic"/>
        </w:rPr>
        <w:t>Proposal 4</w:t>
      </w:r>
      <w:r>
        <w:rPr>
          <w:rFonts w:asciiTheme="minorHAnsi" w:eastAsiaTheme="minorEastAsia" w:hAnsiTheme="minorHAnsi" w:cstheme="minorBidi"/>
          <w:b w:val="0"/>
          <w:sz w:val="22"/>
          <w:lang w:eastAsia="en-US"/>
        </w:rPr>
        <w:tab/>
      </w:r>
      <w:r w:rsidRPr="006F0557">
        <w:rPr>
          <w:rFonts w:eastAsia="Malgun Gothic"/>
        </w:rPr>
        <w:t>The 5 GHz band is a prime candidate for NR-U operation</w:t>
      </w:r>
    </w:p>
    <w:p w14:paraId="151F9F24" w14:textId="77777777" w:rsidR="005F0ACB" w:rsidRDefault="005F0ACB">
      <w:pPr>
        <w:pStyle w:val="TOC1"/>
        <w:rPr>
          <w:rFonts w:asciiTheme="minorHAnsi" w:eastAsiaTheme="minorEastAsia" w:hAnsiTheme="minorHAnsi" w:cstheme="minorBidi"/>
          <w:b w:val="0"/>
          <w:sz w:val="22"/>
          <w:lang w:eastAsia="en-US"/>
        </w:rPr>
      </w:pPr>
      <w:r w:rsidRPr="006F0557">
        <w:rPr>
          <w:rFonts w:eastAsia="Malgun Gothic"/>
        </w:rPr>
        <w:t>Proposal 5</w:t>
      </w:r>
      <w:r>
        <w:rPr>
          <w:rFonts w:asciiTheme="minorHAnsi" w:eastAsiaTheme="minorEastAsia" w:hAnsiTheme="minorHAnsi" w:cstheme="minorBidi"/>
          <w:b w:val="0"/>
          <w:sz w:val="22"/>
          <w:lang w:eastAsia="en-US"/>
        </w:rPr>
        <w:tab/>
      </w:r>
      <w:r w:rsidRPr="006F0557">
        <w:rPr>
          <w:rFonts w:eastAsia="Malgun Gothic"/>
        </w:rPr>
        <w:t>The  5925-6425 MHz band is a prime candidate for NR-U operation</w:t>
      </w:r>
    </w:p>
    <w:p w14:paraId="7928D51B" w14:textId="77777777" w:rsidR="005F0ACB" w:rsidRDefault="005F0ACB">
      <w:pPr>
        <w:pStyle w:val="TOC1"/>
        <w:rPr>
          <w:rFonts w:asciiTheme="minorHAnsi" w:eastAsiaTheme="minorEastAsia" w:hAnsiTheme="minorHAnsi" w:cstheme="minorBidi"/>
          <w:b w:val="0"/>
          <w:sz w:val="22"/>
          <w:lang w:eastAsia="en-US"/>
        </w:rPr>
      </w:pPr>
      <w:r>
        <w:rPr>
          <w:lang w:eastAsia="ko-KR"/>
        </w:rPr>
        <w:t>Proposal 6</w:t>
      </w:r>
      <w:r>
        <w:rPr>
          <w:rFonts w:asciiTheme="minorHAnsi" w:eastAsiaTheme="minorEastAsia" w:hAnsiTheme="minorHAnsi" w:cstheme="minorBidi"/>
          <w:b w:val="0"/>
          <w:sz w:val="22"/>
          <w:lang w:eastAsia="en-US"/>
        </w:rPr>
        <w:tab/>
      </w:r>
      <w:r w:rsidRPr="006F0557">
        <w:rPr>
          <w:rFonts w:eastAsia="Malgun Gothic"/>
        </w:rPr>
        <w:t>The 37 GHz band can be down-prioritized for NR-U operation</w:t>
      </w:r>
    </w:p>
    <w:p w14:paraId="2E847362" w14:textId="77777777" w:rsidR="005F0ACB" w:rsidRDefault="005F0ACB">
      <w:pPr>
        <w:pStyle w:val="TOC1"/>
        <w:rPr>
          <w:rFonts w:asciiTheme="minorHAnsi" w:eastAsiaTheme="minorEastAsia" w:hAnsiTheme="minorHAnsi" w:cstheme="minorBidi"/>
          <w:b w:val="0"/>
          <w:sz w:val="22"/>
          <w:lang w:eastAsia="en-US"/>
        </w:rPr>
      </w:pPr>
      <w:r w:rsidRPr="006F0557">
        <w:rPr>
          <w:rFonts w:eastAsia="Malgun Gothic"/>
        </w:rPr>
        <w:t>Proposal 7</w:t>
      </w:r>
      <w:r>
        <w:rPr>
          <w:rFonts w:asciiTheme="minorHAnsi" w:eastAsiaTheme="minorEastAsia" w:hAnsiTheme="minorHAnsi" w:cstheme="minorBidi"/>
          <w:b w:val="0"/>
          <w:sz w:val="22"/>
          <w:lang w:eastAsia="en-US"/>
        </w:rPr>
        <w:tab/>
      </w:r>
      <w:r w:rsidRPr="006F0557">
        <w:rPr>
          <w:rFonts w:eastAsia="Malgun Gothic"/>
        </w:rPr>
        <w:t>The 60 GHz band can be considered as a candidate for NR-U operation; however, any optimizations for operation in this band (if needed) should be considered after the channel access scheme for lower frequency bands (sub-7 GHz) is complete.</w:t>
      </w:r>
    </w:p>
    <w:p w14:paraId="3087737B" w14:textId="462B4E19" w:rsidR="007809FE" w:rsidRPr="007809FE" w:rsidRDefault="007809FE" w:rsidP="007809FE">
      <w:r>
        <w:rPr>
          <w:b/>
          <w:noProof/>
          <w:szCs w:val="22"/>
        </w:rPr>
        <w:fldChar w:fldCharType="end"/>
      </w:r>
    </w:p>
    <w:p w14:paraId="232F393D" w14:textId="351893C9" w:rsidR="00705777" w:rsidRPr="00705777" w:rsidRDefault="00F507D1" w:rsidP="00705777">
      <w:pPr>
        <w:pStyle w:val="Heading1"/>
      </w:pPr>
      <w:bookmarkStart w:id="30" w:name="_In-sequence_SDU_delivery"/>
      <w:bookmarkEnd w:id="30"/>
      <w:r w:rsidRPr="00CE0424">
        <w:t>References</w:t>
      </w:r>
    </w:p>
    <w:p w14:paraId="3BC9304B" w14:textId="005A176F" w:rsidR="003A7EF3" w:rsidRPr="00CE0424" w:rsidRDefault="00705777" w:rsidP="00705777">
      <w:pPr>
        <w:pStyle w:val="Reference"/>
      </w:pPr>
      <w:r>
        <w:rPr>
          <w:rFonts w:hint="eastAsia"/>
          <w:lang w:eastAsia="ko-KR"/>
        </w:rPr>
        <w:t>RP</w:t>
      </w:r>
      <w:r w:rsidR="00DF6507">
        <w:rPr>
          <w:lang w:eastAsia="ko-KR"/>
        </w:rPr>
        <w:t>-171416, “Revision of study on NR-based access to unlicensed spectrum,” RAN1#76, June 2017.</w:t>
      </w:r>
    </w:p>
    <w:sectPr w:rsidR="003A7EF3"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98A8C" w14:textId="77777777" w:rsidR="000133C6" w:rsidRDefault="000133C6">
      <w:r>
        <w:separator/>
      </w:r>
    </w:p>
  </w:endnote>
  <w:endnote w:type="continuationSeparator" w:id="0">
    <w:p w14:paraId="6D5FFB83" w14:textId="77777777" w:rsidR="000133C6" w:rsidRDefault="00013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855FC" w14:textId="77777777" w:rsidR="000133C6" w:rsidRDefault="000133C6">
      <w:r>
        <w:separator/>
      </w:r>
    </w:p>
  </w:footnote>
  <w:footnote w:type="continuationSeparator" w:id="0">
    <w:p w14:paraId="0D298BD5" w14:textId="77777777" w:rsidR="000133C6" w:rsidRDefault="00013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FA0DE0"/>
    <w:multiLevelType w:val="hybridMultilevel"/>
    <w:tmpl w:val="EFC4D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9661D3"/>
    <w:multiLevelType w:val="hybridMultilevel"/>
    <w:tmpl w:val="A5F40286"/>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22263B"/>
    <w:multiLevelType w:val="hybridMultilevel"/>
    <w:tmpl w:val="6F3EFF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5"/>
  </w:num>
  <w:num w:numId="6">
    <w:abstractNumId w:val="12"/>
  </w:num>
  <w:num w:numId="7">
    <w:abstractNumId w:val="17"/>
  </w:num>
  <w:num w:numId="8">
    <w:abstractNumId w:val="6"/>
  </w:num>
  <w:num w:numId="9">
    <w:abstractNumId w:val="4"/>
  </w:num>
  <w:num w:numId="10">
    <w:abstractNumId w:val="2"/>
  </w:num>
  <w:num w:numId="11">
    <w:abstractNumId w:val="1"/>
  </w:num>
  <w:num w:numId="12">
    <w:abstractNumId w:val="0"/>
  </w:num>
  <w:num w:numId="13">
    <w:abstractNumId w:val="14"/>
  </w:num>
  <w:num w:numId="14">
    <w:abstractNumId w:val="7"/>
  </w:num>
  <w:num w:numId="15">
    <w:abstractNumId w:val="9"/>
  </w:num>
  <w:num w:numId="16">
    <w:abstractNumId w:val="8"/>
  </w:num>
  <w:num w:numId="17">
    <w:abstractNumId w:val="16"/>
  </w:num>
  <w:num w:numId="1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33C6"/>
    <w:rsid w:val="00015D15"/>
    <w:rsid w:val="0002564D"/>
    <w:rsid w:val="00025ECA"/>
    <w:rsid w:val="00030B30"/>
    <w:rsid w:val="000325B8"/>
    <w:rsid w:val="00034C15"/>
    <w:rsid w:val="00036BA1"/>
    <w:rsid w:val="00042009"/>
    <w:rsid w:val="000422E2"/>
    <w:rsid w:val="000426D8"/>
    <w:rsid w:val="00042F22"/>
    <w:rsid w:val="00043DDD"/>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2812"/>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3C74"/>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87E5E"/>
    <w:rsid w:val="00190AC1"/>
    <w:rsid w:val="0019341A"/>
    <w:rsid w:val="00197DF9"/>
    <w:rsid w:val="001A1987"/>
    <w:rsid w:val="001A2564"/>
    <w:rsid w:val="001A6173"/>
    <w:rsid w:val="001A6CBA"/>
    <w:rsid w:val="001B0D97"/>
    <w:rsid w:val="001B5A5D"/>
    <w:rsid w:val="001C1CE5"/>
    <w:rsid w:val="001C3D2A"/>
    <w:rsid w:val="001D51BA"/>
    <w:rsid w:val="001D6342"/>
    <w:rsid w:val="001D65EC"/>
    <w:rsid w:val="001D6D53"/>
    <w:rsid w:val="001E2560"/>
    <w:rsid w:val="001E58E2"/>
    <w:rsid w:val="001E7AED"/>
    <w:rsid w:val="001F3916"/>
    <w:rsid w:val="001F54C5"/>
    <w:rsid w:val="001F662C"/>
    <w:rsid w:val="001F7074"/>
    <w:rsid w:val="00200490"/>
    <w:rsid w:val="00201F3A"/>
    <w:rsid w:val="00203F96"/>
    <w:rsid w:val="002069B2"/>
    <w:rsid w:val="00207F0C"/>
    <w:rsid w:val="00207FA3"/>
    <w:rsid w:val="00214DA8"/>
    <w:rsid w:val="00215423"/>
    <w:rsid w:val="002158FA"/>
    <w:rsid w:val="00220600"/>
    <w:rsid w:val="00220DD8"/>
    <w:rsid w:val="002221D4"/>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0A21"/>
    <w:rsid w:val="003D109F"/>
    <w:rsid w:val="003D2478"/>
    <w:rsid w:val="003D3C45"/>
    <w:rsid w:val="003D5B1F"/>
    <w:rsid w:val="003E15FA"/>
    <w:rsid w:val="003E55E4"/>
    <w:rsid w:val="003E74E3"/>
    <w:rsid w:val="003F05C7"/>
    <w:rsid w:val="003F2CD4"/>
    <w:rsid w:val="003F6119"/>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2B74"/>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597"/>
    <w:rsid w:val="005C6DD7"/>
    <w:rsid w:val="005C74FB"/>
    <w:rsid w:val="005D1602"/>
    <w:rsid w:val="005E385F"/>
    <w:rsid w:val="005E5B81"/>
    <w:rsid w:val="005F0ACB"/>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5777"/>
    <w:rsid w:val="00706101"/>
    <w:rsid w:val="0070684F"/>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22B1"/>
    <w:rsid w:val="00763491"/>
    <w:rsid w:val="00765281"/>
    <w:rsid w:val="00766BAD"/>
    <w:rsid w:val="007679B0"/>
    <w:rsid w:val="007755F2"/>
    <w:rsid w:val="00776971"/>
    <w:rsid w:val="00777D37"/>
    <w:rsid w:val="007809FE"/>
    <w:rsid w:val="0078177E"/>
    <w:rsid w:val="00782D8A"/>
    <w:rsid w:val="0078304C"/>
    <w:rsid w:val="00783673"/>
    <w:rsid w:val="00785490"/>
    <w:rsid w:val="00790181"/>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39D"/>
    <w:rsid w:val="008F1EAB"/>
    <w:rsid w:val="008F33DC"/>
    <w:rsid w:val="008F477F"/>
    <w:rsid w:val="00902350"/>
    <w:rsid w:val="0090336B"/>
    <w:rsid w:val="009053AA"/>
    <w:rsid w:val="00906939"/>
    <w:rsid w:val="00910B7D"/>
    <w:rsid w:val="009117D3"/>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05CA"/>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A3E"/>
    <w:rsid w:val="00994DCA"/>
    <w:rsid w:val="009960EC"/>
    <w:rsid w:val="009970DD"/>
    <w:rsid w:val="00997CB2"/>
    <w:rsid w:val="009A0FBA"/>
    <w:rsid w:val="009A1601"/>
    <w:rsid w:val="009A18A7"/>
    <w:rsid w:val="009A1933"/>
    <w:rsid w:val="009A462D"/>
    <w:rsid w:val="009A5CBA"/>
    <w:rsid w:val="009B1F30"/>
    <w:rsid w:val="009B3AC2"/>
    <w:rsid w:val="009B4DF4"/>
    <w:rsid w:val="009B564E"/>
    <w:rsid w:val="009B7E87"/>
    <w:rsid w:val="009C2304"/>
    <w:rsid w:val="009C403E"/>
    <w:rsid w:val="009C6832"/>
    <w:rsid w:val="009D4FF0"/>
    <w:rsid w:val="009D5448"/>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C7AD2"/>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66D15"/>
    <w:rsid w:val="00C70697"/>
    <w:rsid w:val="00C72EF4"/>
    <w:rsid w:val="00C75D2F"/>
    <w:rsid w:val="00C767BE"/>
    <w:rsid w:val="00C76E3C"/>
    <w:rsid w:val="00C81568"/>
    <w:rsid w:val="00C87563"/>
    <w:rsid w:val="00C9027A"/>
    <w:rsid w:val="00C9068E"/>
    <w:rsid w:val="00C93C4B"/>
    <w:rsid w:val="00C944AB"/>
    <w:rsid w:val="00C95B40"/>
    <w:rsid w:val="00C97FD2"/>
    <w:rsid w:val="00CA1068"/>
    <w:rsid w:val="00CA1ED8"/>
    <w:rsid w:val="00CA2417"/>
    <w:rsid w:val="00CB1F63"/>
    <w:rsid w:val="00CB7170"/>
    <w:rsid w:val="00CC040E"/>
    <w:rsid w:val="00CC111F"/>
    <w:rsid w:val="00CC2011"/>
    <w:rsid w:val="00CC3EA0"/>
    <w:rsid w:val="00CC5371"/>
    <w:rsid w:val="00CC7B45"/>
    <w:rsid w:val="00CD0D9B"/>
    <w:rsid w:val="00CD1188"/>
    <w:rsid w:val="00CD2ED1"/>
    <w:rsid w:val="00CD337B"/>
    <w:rsid w:val="00CE0424"/>
    <w:rsid w:val="00CE6E5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009"/>
    <w:rsid w:val="00D36E71"/>
    <w:rsid w:val="00D37D87"/>
    <w:rsid w:val="00D40B33"/>
    <w:rsid w:val="00D4318F"/>
    <w:rsid w:val="00D438BF"/>
    <w:rsid w:val="00D440F8"/>
    <w:rsid w:val="00D546FF"/>
    <w:rsid w:val="00D55094"/>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E5608"/>
    <w:rsid w:val="00DE58D0"/>
    <w:rsid w:val="00DE654F"/>
    <w:rsid w:val="00DF0B6E"/>
    <w:rsid w:val="00DF15E0"/>
    <w:rsid w:val="00DF37A0"/>
    <w:rsid w:val="00DF650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31ED"/>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51DE"/>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F2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0ACB"/>
    <w:rPr>
      <w:rFonts w:eastAsiaTheme="minorHAnsi"/>
    </w:rPr>
  </w:style>
  <w:style w:type="paragraph" w:styleId="Heading1">
    <w:name w:val="heading 1"/>
    <w:next w:val="Normal"/>
    <w:link w:val="Heading1Char"/>
    <w:qFormat/>
    <w:rsid w:val="003D0A2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D0A2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D0A21"/>
    <w:pPr>
      <w:numPr>
        <w:ilvl w:val="2"/>
      </w:numPr>
      <w:spacing w:before="120"/>
      <w:outlineLvl w:val="2"/>
    </w:pPr>
    <w:rPr>
      <w:sz w:val="24"/>
      <w:szCs w:val="28"/>
    </w:rPr>
  </w:style>
  <w:style w:type="paragraph" w:styleId="Heading4">
    <w:name w:val="heading 4"/>
    <w:basedOn w:val="Heading3"/>
    <w:next w:val="Normal"/>
    <w:qFormat/>
    <w:rsid w:val="003D0A21"/>
    <w:pPr>
      <w:numPr>
        <w:ilvl w:val="3"/>
      </w:numPr>
      <w:outlineLvl w:val="3"/>
    </w:pPr>
    <w:rPr>
      <w:szCs w:val="24"/>
    </w:rPr>
  </w:style>
  <w:style w:type="paragraph" w:styleId="Heading5">
    <w:name w:val="heading 5"/>
    <w:basedOn w:val="Heading4"/>
    <w:next w:val="Normal"/>
    <w:qFormat/>
    <w:rsid w:val="003D0A21"/>
    <w:pPr>
      <w:numPr>
        <w:ilvl w:val="4"/>
      </w:numPr>
      <w:outlineLvl w:val="4"/>
    </w:pPr>
    <w:rPr>
      <w:sz w:val="22"/>
      <w:szCs w:val="22"/>
    </w:rPr>
  </w:style>
  <w:style w:type="paragraph" w:styleId="Heading6">
    <w:name w:val="heading 6"/>
    <w:basedOn w:val="Normal"/>
    <w:next w:val="Normal"/>
    <w:qFormat/>
    <w:rsid w:val="003D0A21"/>
    <w:pPr>
      <w:keepNext/>
      <w:keepLines/>
      <w:numPr>
        <w:ilvl w:val="5"/>
        <w:numId w:val="1"/>
      </w:numPr>
      <w:spacing w:before="120"/>
      <w:outlineLvl w:val="5"/>
    </w:pPr>
    <w:rPr>
      <w:rFonts w:cs="Arial"/>
    </w:rPr>
  </w:style>
  <w:style w:type="paragraph" w:styleId="Heading7">
    <w:name w:val="heading 7"/>
    <w:basedOn w:val="Normal"/>
    <w:next w:val="Normal"/>
    <w:qFormat/>
    <w:rsid w:val="003D0A21"/>
    <w:pPr>
      <w:keepNext/>
      <w:keepLines/>
      <w:numPr>
        <w:ilvl w:val="6"/>
        <w:numId w:val="1"/>
      </w:numPr>
      <w:spacing w:before="120"/>
      <w:outlineLvl w:val="6"/>
    </w:pPr>
    <w:rPr>
      <w:rFonts w:cs="Arial"/>
    </w:rPr>
  </w:style>
  <w:style w:type="paragraph" w:styleId="Heading8">
    <w:name w:val="heading 8"/>
    <w:basedOn w:val="Heading7"/>
    <w:next w:val="Normal"/>
    <w:qFormat/>
    <w:rsid w:val="003D0A21"/>
    <w:pPr>
      <w:numPr>
        <w:ilvl w:val="7"/>
      </w:numPr>
      <w:outlineLvl w:val="7"/>
    </w:pPr>
  </w:style>
  <w:style w:type="paragraph" w:styleId="Heading9">
    <w:name w:val="heading 9"/>
    <w:basedOn w:val="Heading8"/>
    <w:next w:val="Normal"/>
    <w:qFormat/>
    <w:rsid w:val="003D0A21"/>
    <w:pPr>
      <w:numPr>
        <w:ilvl w:val="8"/>
      </w:numPr>
      <w:outlineLvl w:val="8"/>
    </w:pPr>
  </w:style>
  <w:style w:type="character" w:default="1" w:styleId="DefaultParagraphFont">
    <w:name w:val="Default Paragraph Font"/>
    <w:uiPriority w:val="1"/>
    <w:semiHidden/>
    <w:unhideWhenUsed/>
    <w:rsid w:val="005F0A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0ACB"/>
  </w:style>
  <w:style w:type="paragraph" w:styleId="TOC8">
    <w:name w:val="toc 8"/>
    <w:basedOn w:val="TOC1"/>
    <w:semiHidden/>
    <w:rsid w:val="003D0A21"/>
    <w:pPr>
      <w:spacing w:before="180"/>
      <w:ind w:left="2693" w:hanging="2693"/>
    </w:pPr>
    <w:rPr>
      <w:b w:val="0"/>
      <w:bCs/>
    </w:rPr>
  </w:style>
  <w:style w:type="paragraph" w:styleId="TOC1">
    <w:name w:val="toc 1"/>
    <w:aliases w:val="Observation TOC2"/>
    <w:uiPriority w:val="39"/>
    <w:rsid w:val="003D0A2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D0A21"/>
    <w:pPr>
      <w:keepNext/>
      <w:keepLines/>
      <w:spacing w:before="180"/>
      <w:jc w:val="center"/>
    </w:pPr>
  </w:style>
  <w:style w:type="paragraph" w:styleId="Caption">
    <w:name w:val="caption"/>
    <w:basedOn w:val="Normal"/>
    <w:next w:val="Normal"/>
    <w:qFormat/>
    <w:rsid w:val="003D0A21"/>
    <w:pPr>
      <w:spacing w:after="240"/>
      <w:jc w:val="center"/>
    </w:pPr>
    <w:rPr>
      <w:b/>
      <w:bCs/>
    </w:rPr>
  </w:style>
  <w:style w:type="paragraph" w:styleId="TOC5">
    <w:name w:val="toc 5"/>
    <w:aliases w:val="Observation TOC"/>
    <w:basedOn w:val="TOC4"/>
    <w:semiHidden/>
    <w:rsid w:val="003D0A21"/>
    <w:pPr>
      <w:tabs>
        <w:tab w:val="right" w:pos="1701"/>
      </w:tabs>
      <w:ind w:left="1701" w:hanging="1701"/>
    </w:pPr>
  </w:style>
  <w:style w:type="paragraph" w:styleId="TOC4">
    <w:name w:val="toc 4"/>
    <w:basedOn w:val="TOC3"/>
    <w:semiHidden/>
    <w:rsid w:val="003D0A21"/>
    <w:pPr>
      <w:ind w:left="1418" w:hanging="1418"/>
    </w:pPr>
  </w:style>
  <w:style w:type="paragraph" w:styleId="TOC3">
    <w:name w:val="toc 3"/>
    <w:basedOn w:val="TOC2"/>
    <w:semiHidden/>
    <w:rsid w:val="003D0A21"/>
    <w:pPr>
      <w:ind w:left="1134" w:hanging="1134"/>
    </w:pPr>
  </w:style>
  <w:style w:type="paragraph" w:styleId="TOC2">
    <w:name w:val="toc 2"/>
    <w:basedOn w:val="TOC1"/>
    <w:semiHidden/>
    <w:rsid w:val="003D0A21"/>
    <w:pPr>
      <w:keepNext w:val="0"/>
      <w:spacing w:before="0"/>
      <w:ind w:left="851" w:hanging="851"/>
    </w:pPr>
    <w:rPr>
      <w:szCs w:val="20"/>
    </w:rPr>
  </w:style>
  <w:style w:type="paragraph" w:styleId="Index2">
    <w:name w:val="index 2"/>
    <w:basedOn w:val="Index1"/>
    <w:semiHidden/>
    <w:rsid w:val="003D0A21"/>
    <w:pPr>
      <w:ind w:left="284"/>
    </w:pPr>
  </w:style>
  <w:style w:type="paragraph" w:styleId="Index1">
    <w:name w:val="index 1"/>
    <w:basedOn w:val="Normal"/>
    <w:semiHidden/>
    <w:rsid w:val="003D0A21"/>
    <w:pPr>
      <w:keepLines/>
    </w:pPr>
  </w:style>
  <w:style w:type="paragraph" w:styleId="DocumentMap">
    <w:name w:val="Document Map"/>
    <w:basedOn w:val="Normal"/>
    <w:semiHidden/>
    <w:rsid w:val="003D0A21"/>
    <w:pPr>
      <w:shd w:val="clear" w:color="auto" w:fill="000080"/>
    </w:pPr>
    <w:rPr>
      <w:rFonts w:ascii="Tahoma" w:hAnsi="Tahoma" w:cs="Tahoma"/>
    </w:rPr>
  </w:style>
  <w:style w:type="paragraph" w:styleId="ListNumber2">
    <w:name w:val="List Number 2"/>
    <w:basedOn w:val="ListNumber"/>
    <w:rsid w:val="003D0A21"/>
    <w:pPr>
      <w:ind w:left="851"/>
    </w:pPr>
  </w:style>
  <w:style w:type="paragraph" w:styleId="ListNumber">
    <w:name w:val="List Number"/>
    <w:basedOn w:val="List"/>
    <w:rsid w:val="003D0A21"/>
  </w:style>
  <w:style w:type="paragraph" w:styleId="List">
    <w:name w:val="List"/>
    <w:basedOn w:val="Normal"/>
    <w:rsid w:val="003D0A21"/>
    <w:pPr>
      <w:ind w:left="568" w:hanging="284"/>
    </w:pPr>
  </w:style>
  <w:style w:type="paragraph" w:styleId="Header">
    <w:name w:val="header"/>
    <w:rsid w:val="003D0A2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0A21"/>
    <w:rPr>
      <w:b/>
      <w:bCs/>
      <w:position w:val="6"/>
      <w:sz w:val="16"/>
      <w:szCs w:val="16"/>
    </w:rPr>
  </w:style>
  <w:style w:type="paragraph" w:styleId="FootnoteText">
    <w:name w:val="footnote text"/>
    <w:basedOn w:val="Normal"/>
    <w:link w:val="FootnoteTextChar"/>
    <w:semiHidden/>
    <w:rsid w:val="003D0A21"/>
    <w:pPr>
      <w:keepLines/>
      <w:ind w:left="454" w:hanging="454"/>
    </w:pPr>
    <w:rPr>
      <w:sz w:val="16"/>
      <w:szCs w:val="16"/>
    </w:rPr>
  </w:style>
  <w:style w:type="paragraph" w:customStyle="1" w:styleId="3GPPHeader">
    <w:name w:val="3GPP_Header"/>
    <w:basedOn w:val="Normal"/>
    <w:qFormat/>
    <w:rsid w:val="003D0A21"/>
    <w:pPr>
      <w:tabs>
        <w:tab w:val="left" w:pos="1800"/>
        <w:tab w:val="right" w:pos="9360"/>
      </w:tabs>
    </w:pPr>
    <w:rPr>
      <w:rFonts w:ascii="Arial" w:hAnsi="Arial"/>
      <w:b/>
    </w:rPr>
  </w:style>
  <w:style w:type="paragraph" w:styleId="TOC9">
    <w:name w:val="toc 9"/>
    <w:basedOn w:val="TOC8"/>
    <w:semiHidden/>
    <w:rsid w:val="003D0A21"/>
    <w:pPr>
      <w:ind w:left="1418" w:hanging="1418"/>
    </w:pPr>
  </w:style>
  <w:style w:type="paragraph" w:styleId="TOC6">
    <w:name w:val="toc 6"/>
    <w:basedOn w:val="TOC5"/>
    <w:next w:val="Normal"/>
    <w:semiHidden/>
    <w:rsid w:val="003D0A21"/>
    <w:pPr>
      <w:ind w:left="1985" w:hanging="1985"/>
    </w:pPr>
  </w:style>
  <w:style w:type="paragraph" w:styleId="TOC7">
    <w:name w:val="toc 7"/>
    <w:basedOn w:val="TOC6"/>
    <w:next w:val="Normal"/>
    <w:semiHidden/>
    <w:rsid w:val="003D0A21"/>
    <w:pPr>
      <w:ind w:left="2268" w:hanging="2268"/>
    </w:pPr>
  </w:style>
  <w:style w:type="paragraph" w:styleId="ListBullet2">
    <w:name w:val="List Bullet 2"/>
    <w:basedOn w:val="ListBullet"/>
    <w:rsid w:val="003D0A21"/>
    <w:pPr>
      <w:numPr>
        <w:numId w:val="6"/>
      </w:numPr>
    </w:pPr>
  </w:style>
  <w:style w:type="paragraph" w:styleId="ListBullet">
    <w:name w:val="List Bullet"/>
    <w:basedOn w:val="BodyText"/>
    <w:rsid w:val="003D0A21"/>
    <w:pPr>
      <w:numPr>
        <w:numId w:val="5"/>
      </w:numPr>
    </w:pPr>
  </w:style>
  <w:style w:type="paragraph" w:styleId="ListBullet3">
    <w:name w:val="List Bullet 3"/>
    <w:basedOn w:val="ListBullet2"/>
    <w:rsid w:val="003D0A21"/>
    <w:pPr>
      <w:numPr>
        <w:numId w:val="7"/>
      </w:numPr>
    </w:pPr>
  </w:style>
  <w:style w:type="paragraph" w:customStyle="1" w:styleId="EQ">
    <w:name w:val="EQ"/>
    <w:basedOn w:val="Normal"/>
    <w:next w:val="Normal"/>
    <w:rsid w:val="003D0A21"/>
    <w:pPr>
      <w:keepLines/>
      <w:tabs>
        <w:tab w:val="center" w:pos="4536"/>
        <w:tab w:val="right" w:pos="9072"/>
      </w:tabs>
      <w:spacing w:after="180"/>
    </w:pPr>
    <w:rPr>
      <w:noProof/>
    </w:rPr>
  </w:style>
  <w:style w:type="paragraph" w:styleId="List2">
    <w:name w:val="List 2"/>
    <w:basedOn w:val="List"/>
    <w:rsid w:val="003D0A21"/>
    <w:pPr>
      <w:ind w:left="851"/>
    </w:pPr>
  </w:style>
  <w:style w:type="paragraph" w:styleId="List3">
    <w:name w:val="List 3"/>
    <w:basedOn w:val="List2"/>
    <w:rsid w:val="003D0A21"/>
    <w:pPr>
      <w:ind w:left="1135"/>
    </w:pPr>
  </w:style>
  <w:style w:type="paragraph" w:styleId="List4">
    <w:name w:val="List 4"/>
    <w:basedOn w:val="List3"/>
    <w:rsid w:val="003D0A21"/>
    <w:pPr>
      <w:ind w:left="1418"/>
    </w:pPr>
  </w:style>
  <w:style w:type="paragraph" w:styleId="List5">
    <w:name w:val="List 5"/>
    <w:basedOn w:val="List4"/>
    <w:rsid w:val="003D0A21"/>
    <w:pPr>
      <w:ind w:left="1702"/>
    </w:pPr>
  </w:style>
  <w:style w:type="paragraph" w:customStyle="1" w:styleId="EditorsNote">
    <w:name w:val="Editor's Note"/>
    <w:basedOn w:val="Normal"/>
    <w:rsid w:val="003D0A21"/>
    <w:pPr>
      <w:keepLines/>
      <w:spacing w:after="180"/>
      <w:ind w:left="1135" w:hanging="851"/>
    </w:pPr>
    <w:rPr>
      <w:color w:val="FF0000"/>
    </w:rPr>
  </w:style>
  <w:style w:type="paragraph" w:styleId="ListBullet4">
    <w:name w:val="List Bullet 4"/>
    <w:basedOn w:val="ListBullet3"/>
    <w:rsid w:val="003D0A21"/>
    <w:pPr>
      <w:numPr>
        <w:numId w:val="8"/>
      </w:numPr>
    </w:pPr>
  </w:style>
  <w:style w:type="paragraph" w:styleId="ListBullet5">
    <w:name w:val="List Bullet 5"/>
    <w:basedOn w:val="ListBullet4"/>
    <w:rsid w:val="003D0A21"/>
    <w:pPr>
      <w:numPr>
        <w:numId w:val="4"/>
      </w:numPr>
    </w:pPr>
  </w:style>
  <w:style w:type="paragraph" w:styleId="Footer">
    <w:name w:val="footer"/>
    <w:basedOn w:val="Header"/>
    <w:semiHidden/>
    <w:rsid w:val="003D0A21"/>
    <w:pPr>
      <w:jc w:val="center"/>
    </w:pPr>
    <w:rPr>
      <w:i/>
      <w:iCs/>
    </w:rPr>
  </w:style>
  <w:style w:type="paragraph" w:customStyle="1" w:styleId="Reference">
    <w:name w:val="Reference"/>
    <w:basedOn w:val="Normal"/>
    <w:qFormat/>
    <w:rsid w:val="003D0A21"/>
    <w:pPr>
      <w:numPr>
        <w:numId w:val="2"/>
      </w:numPr>
    </w:pPr>
  </w:style>
  <w:style w:type="paragraph" w:styleId="BalloonText">
    <w:name w:val="Balloon Text"/>
    <w:basedOn w:val="Normal"/>
    <w:semiHidden/>
    <w:rsid w:val="003D0A21"/>
    <w:rPr>
      <w:rFonts w:ascii="Tahoma" w:hAnsi="Tahoma" w:cs="Tahoma"/>
      <w:sz w:val="16"/>
      <w:szCs w:val="16"/>
    </w:rPr>
  </w:style>
  <w:style w:type="character" w:styleId="PageNumber">
    <w:name w:val="page number"/>
    <w:basedOn w:val="DefaultParagraphFont"/>
    <w:semiHidden/>
    <w:rsid w:val="003D0A21"/>
  </w:style>
  <w:style w:type="paragraph" w:styleId="BodyText">
    <w:name w:val="Body Text"/>
    <w:basedOn w:val="Normal"/>
    <w:link w:val="BodyTextChar"/>
    <w:qFormat/>
    <w:rsid w:val="003D0A21"/>
  </w:style>
  <w:style w:type="character" w:styleId="Hyperlink">
    <w:name w:val="Hyperlink"/>
    <w:uiPriority w:val="99"/>
    <w:rsid w:val="003D0A21"/>
    <w:rPr>
      <w:color w:val="0000FF"/>
      <w:u w:val="single"/>
      <w:lang w:val="en-GB"/>
    </w:rPr>
  </w:style>
  <w:style w:type="character" w:styleId="FollowedHyperlink">
    <w:name w:val="FollowedHyperlink"/>
    <w:semiHidden/>
    <w:rsid w:val="003D0A21"/>
    <w:rPr>
      <w:color w:val="FF0000"/>
      <w:u w:val="single"/>
    </w:rPr>
  </w:style>
  <w:style w:type="character" w:styleId="CommentReference">
    <w:name w:val="annotation reference"/>
    <w:semiHidden/>
    <w:rsid w:val="003D0A21"/>
    <w:rPr>
      <w:sz w:val="16"/>
      <w:szCs w:val="16"/>
    </w:rPr>
  </w:style>
  <w:style w:type="paragraph" w:styleId="CommentText">
    <w:name w:val="annotation text"/>
    <w:basedOn w:val="Normal"/>
    <w:semiHidden/>
    <w:rsid w:val="003D0A21"/>
  </w:style>
  <w:style w:type="paragraph" w:styleId="CommentSubject">
    <w:name w:val="annotation subject"/>
    <w:basedOn w:val="CommentText"/>
    <w:next w:val="CommentText"/>
    <w:semiHidden/>
    <w:rsid w:val="003D0A21"/>
    <w:rPr>
      <w:b/>
      <w:bCs/>
    </w:rPr>
  </w:style>
  <w:style w:type="character" w:customStyle="1" w:styleId="Heading1Char">
    <w:name w:val="Heading 1 Char"/>
    <w:link w:val="Heading1"/>
    <w:rsid w:val="003D0A21"/>
    <w:rPr>
      <w:rFonts w:ascii="Arial" w:hAnsi="Arial" w:cs="Arial"/>
      <w:sz w:val="32"/>
      <w:szCs w:val="36"/>
      <w:lang w:val="en-GB" w:eastAsia="zh-CN"/>
    </w:rPr>
  </w:style>
  <w:style w:type="paragraph" w:customStyle="1" w:styleId="B1">
    <w:name w:val="B1"/>
    <w:basedOn w:val="List"/>
    <w:rsid w:val="003D0A21"/>
    <w:pPr>
      <w:spacing w:after="180"/>
    </w:pPr>
  </w:style>
  <w:style w:type="paragraph" w:customStyle="1" w:styleId="B2">
    <w:name w:val="B2"/>
    <w:basedOn w:val="List2"/>
    <w:rsid w:val="003D0A21"/>
    <w:pPr>
      <w:spacing w:after="180"/>
    </w:pPr>
  </w:style>
  <w:style w:type="paragraph" w:customStyle="1" w:styleId="B3">
    <w:name w:val="B3"/>
    <w:basedOn w:val="List3"/>
    <w:rsid w:val="003D0A21"/>
    <w:pPr>
      <w:spacing w:after="180"/>
    </w:pPr>
  </w:style>
  <w:style w:type="paragraph" w:customStyle="1" w:styleId="B4">
    <w:name w:val="B4"/>
    <w:basedOn w:val="List4"/>
    <w:rsid w:val="003D0A21"/>
    <w:pPr>
      <w:spacing w:after="180"/>
    </w:pPr>
  </w:style>
  <w:style w:type="paragraph" w:customStyle="1" w:styleId="Proposal">
    <w:name w:val="Proposal"/>
    <w:basedOn w:val="Normal"/>
    <w:qFormat/>
    <w:rsid w:val="003D0A21"/>
    <w:pPr>
      <w:numPr>
        <w:numId w:val="3"/>
      </w:numPr>
      <w:tabs>
        <w:tab w:val="clear" w:pos="1304"/>
        <w:tab w:val="left" w:pos="1701"/>
      </w:tabs>
      <w:ind w:left="1701" w:hanging="1701"/>
    </w:pPr>
    <w:rPr>
      <w:b/>
      <w:bCs/>
    </w:rPr>
  </w:style>
  <w:style w:type="character" w:customStyle="1" w:styleId="BodyTextChar">
    <w:name w:val="Body Text Char"/>
    <w:link w:val="BodyText"/>
    <w:rsid w:val="003D0A21"/>
    <w:rPr>
      <w:rFonts w:ascii="Times New Roman" w:hAnsi="Times New Roman"/>
      <w:lang w:val="en-GB" w:eastAsia="zh-CN"/>
    </w:rPr>
  </w:style>
  <w:style w:type="paragraph" w:customStyle="1" w:styleId="B5">
    <w:name w:val="B5"/>
    <w:basedOn w:val="List5"/>
    <w:rsid w:val="003D0A21"/>
    <w:pPr>
      <w:spacing w:after="180"/>
    </w:pPr>
  </w:style>
  <w:style w:type="paragraph" w:customStyle="1" w:styleId="EX">
    <w:name w:val="EX"/>
    <w:basedOn w:val="Normal"/>
    <w:rsid w:val="003D0A21"/>
    <w:pPr>
      <w:keepLines/>
      <w:spacing w:after="180"/>
      <w:ind w:left="1702" w:hanging="1418"/>
    </w:pPr>
  </w:style>
  <w:style w:type="paragraph" w:customStyle="1" w:styleId="EW">
    <w:name w:val="EW"/>
    <w:basedOn w:val="EX"/>
    <w:rsid w:val="003D0A21"/>
    <w:pPr>
      <w:spacing w:after="0"/>
    </w:pPr>
  </w:style>
  <w:style w:type="paragraph" w:customStyle="1" w:styleId="TAL">
    <w:name w:val="TAL"/>
    <w:basedOn w:val="Normal"/>
    <w:rsid w:val="003D0A21"/>
    <w:pPr>
      <w:keepNext/>
      <w:keepLines/>
    </w:pPr>
    <w:rPr>
      <w:sz w:val="18"/>
    </w:rPr>
  </w:style>
  <w:style w:type="paragraph" w:customStyle="1" w:styleId="TAC">
    <w:name w:val="TAC"/>
    <w:basedOn w:val="TAL"/>
    <w:rsid w:val="003D0A21"/>
    <w:pPr>
      <w:jc w:val="center"/>
    </w:pPr>
  </w:style>
  <w:style w:type="paragraph" w:customStyle="1" w:styleId="TAH">
    <w:name w:val="TAH"/>
    <w:basedOn w:val="TAC"/>
    <w:rsid w:val="003D0A21"/>
    <w:rPr>
      <w:b/>
    </w:rPr>
  </w:style>
  <w:style w:type="paragraph" w:customStyle="1" w:styleId="TAN">
    <w:name w:val="TAN"/>
    <w:basedOn w:val="TAL"/>
    <w:rsid w:val="003D0A21"/>
    <w:pPr>
      <w:ind w:left="851" w:hanging="851"/>
    </w:pPr>
  </w:style>
  <w:style w:type="paragraph" w:customStyle="1" w:styleId="TAR">
    <w:name w:val="TAR"/>
    <w:basedOn w:val="TAL"/>
    <w:rsid w:val="003D0A21"/>
    <w:pPr>
      <w:jc w:val="right"/>
    </w:pPr>
  </w:style>
  <w:style w:type="paragraph" w:customStyle="1" w:styleId="TH">
    <w:name w:val="TH"/>
    <w:basedOn w:val="Normal"/>
    <w:rsid w:val="003D0A21"/>
    <w:pPr>
      <w:keepNext/>
      <w:keepLines/>
      <w:spacing w:before="60" w:after="180"/>
      <w:jc w:val="center"/>
    </w:pPr>
    <w:rPr>
      <w:b/>
    </w:rPr>
  </w:style>
  <w:style w:type="paragraph" w:customStyle="1" w:styleId="TF">
    <w:name w:val="TF"/>
    <w:basedOn w:val="TH"/>
    <w:rsid w:val="003D0A21"/>
    <w:pPr>
      <w:keepNext w:val="0"/>
      <w:spacing w:before="0" w:after="240"/>
    </w:pPr>
  </w:style>
  <w:style w:type="paragraph" w:customStyle="1" w:styleId="TT">
    <w:name w:val="TT"/>
    <w:basedOn w:val="Heading1"/>
    <w:next w:val="Normal"/>
    <w:rsid w:val="003D0A21"/>
    <w:pPr>
      <w:numPr>
        <w:numId w:val="0"/>
      </w:numPr>
      <w:ind w:left="1134" w:hanging="1134"/>
      <w:outlineLvl w:val="9"/>
    </w:pPr>
    <w:rPr>
      <w:rFonts w:cs="Times New Roman"/>
      <w:szCs w:val="20"/>
      <w:lang w:eastAsia="en-US"/>
    </w:rPr>
  </w:style>
  <w:style w:type="paragraph" w:customStyle="1" w:styleId="ZA">
    <w:name w:val="ZA"/>
    <w:rsid w:val="003D0A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0A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0A2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0A2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0A21"/>
  </w:style>
  <w:style w:type="paragraph" w:customStyle="1" w:styleId="ZH">
    <w:name w:val="ZH"/>
    <w:rsid w:val="003D0A2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0A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0A21"/>
    <w:pPr>
      <w:framePr w:hRule="auto" w:wrap="notBeside" w:y="852"/>
    </w:pPr>
    <w:rPr>
      <w:i w:val="0"/>
      <w:sz w:val="40"/>
    </w:rPr>
  </w:style>
  <w:style w:type="paragraph" w:customStyle="1" w:styleId="ZU">
    <w:name w:val="ZU"/>
    <w:rsid w:val="003D0A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0A21"/>
    <w:pPr>
      <w:framePr w:wrap="notBeside" w:y="16161"/>
    </w:pPr>
  </w:style>
  <w:style w:type="paragraph" w:customStyle="1" w:styleId="FP">
    <w:name w:val="FP"/>
    <w:basedOn w:val="Normal"/>
    <w:rsid w:val="003D0A21"/>
  </w:style>
  <w:style w:type="paragraph" w:customStyle="1" w:styleId="Observation">
    <w:name w:val="Observation"/>
    <w:basedOn w:val="Proposal"/>
    <w:qFormat/>
    <w:rsid w:val="003D0A21"/>
    <w:pPr>
      <w:numPr>
        <w:numId w:val="13"/>
      </w:numPr>
      <w:ind w:left="1701" w:hanging="1701"/>
    </w:pPr>
  </w:style>
  <w:style w:type="paragraph" w:styleId="TableofFigures">
    <w:name w:val="table of figures"/>
    <w:basedOn w:val="Normal"/>
    <w:next w:val="Normal"/>
    <w:uiPriority w:val="99"/>
    <w:rsid w:val="003D0A21"/>
    <w:pPr>
      <w:ind w:left="1418" w:hanging="1418"/>
    </w:pPr>
    <w:rPr>
      <w:b/>
    </w:rPr>
  </w:style>
  <w:style w:type="paragraph" w:styleId="Index4">
    <w:name w:val="index 4"/>
    <w:basedOn w:val="Normal"/>
    <w:next w:val="Normal"/>
    <w:autoRedefine/>
    <w:rsid w:val="003D0A2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LGTdoc">
    <w:name w:val="LGTdoc_본문"/>
    <w:basedOn w:val="Normal"/>
    <w:rsid w:val="00705777"/>
    <w:pPr>
      <w:widowControl w:val="0"/>
      <w:snapToGrid w:val="0"/>
      <w:spacing w:afterLines="50" w:line="264" w:lineRule="auto"/>
    </w:pPr>
    <w:rPr>
      <w:rFonts w:eastAsia="Batang"/>
      <w:kern w:val="2"/>
      <w:sz w:val="22"/>
      <w:szCs w:val="24"/>
      <w:lang w:eastAsia="ko-KR"/>
    </w:rPr>
  </w:style>
  <w:style w:type="character" w:customStyle="1" w:styleId="FootnoteTextChar">
    <w:name w:val="Footnote Text Char"/>
    <w:link w:val="FootnoteText"/>
    <w:semiHidden/>
    <w:rsid w:val="00705777"/>
    <w:rPr>
      <w:rFonts w:ascii="Times New Roman" w:hAnsi="Times New Roman"/>
      <w:sz w:val="16"/>
      <w:szCs w:val="16"/>
      <w:lang w:val="en-GB" w:eastAsia="zh-CN"/>
    </w:rPr>
  </w:style>
  <w:style w:type="table" w:customStyle="1" w:styleId="TableGrid1">
    <w:name w:val="Table Grid1"/>
    <w:basedOn w:val="TableNormal"/>
    <w:next w:val="TableGrid"/>
    <w:uiPriority w:val="59"/>
    <w:rsid w:val="005C6597"/>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C6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13270">
      <w:bodyDiv w:val="1"/>
      <w:marLeft w:val="0"/>
      <w:marRight w:val="0"/>
      <w:marTop w:val="0"/>
      <w:marBottom w:val="0"/>
      <w:divBdr>
        <w:top w:val="none" w:sz="0" w:space="0" w:color="auto"/>
        <w:left w:val="none" w:sz="0" w:space="0" w:color="auto"/>
        <w:bottom w:val="none" w:sz="0" w:space="0" w:color="auto"/>
        <w:right w:val="none" w:sz="0" w:space="0" w:color="auto"/>
      </w:divBdr>
    </w:div>
    <w:div w:id="70991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1688</Words>
  <Characters>9625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2018-01-13T03:36:00Z</dcterms:created>
  <dcterms:modified xsi:type="dcterms:W3CDTF">2018-02-17T02:12:00Z</dcterms:modified>
</cp:coreProperties>
</file>